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2B62A86" w:rsidR="00AB6F96" w:rsidRDefault="00AB6F96" w:rsidP="00AB6F96">
      <w:pPr>
        <w:pStyle w:val="Sansinterligne"/>
        <w:jc w:val="both"/>
        <w:rPr>
          <w:rFonts w:ascii="Marianne" w:hAnsi="Marianne" w:cs="Times New Roman"/>
          <w:lang w:eastAsia="fr-FR"/>
        </w:rPr>
      </w:pPr>
    </w:p>
    <w:p w14:paraId="2FB087EE" w14:textId="111C933D" w:rsidR="007A7912" w:rsidRDefault="007A7912" w:rsidP="007A7912">
      <w:pPr>
        <w:spacing w:after="0"/>
        <w:rPr>
          <w:rFonts w:ascii="Marianne ExtraBold" w:eastAsia="Calibri" w:hAnsi="Marianne ExtraBold"/>
          <w:b/>
          <w:sz w:val="44"/>
          <w:szCs w:val="26"/>
        </w:rPr>
      </w:pPr>
      <w:r w:rsidRPr="00D57D5B">
        <w:rPr>
          <w:rFonts w:ascii="Marianne ExtraBold" w:eastAsia="Calibri" w:hAnsi="Marianne ExtraBold"/>
          <w:b/>
          <w:sz w:val="44"/>
          <w:szCs w:val="26"/>
        </w:rPr>
        <w:t xml:space="preserve">FICHE </w:t>
      </w:r>
      <w:r>
        <w:rPr>
          <w:rFonts w:ascii="Marianne ExtraBold" w:eastAsia="Calibri" w:hAnsi="Marianne ExtraBold"/>
          <w:b/>
          <w:sz w:val="44"/>
          <w:szCs w:val="26"/>
        </w:rPr>
        <w:t>10</w:t>
      </w:r>
    </w:p>
    <w:p w14:paraId="118A23C9" w14:textId="17200E58" w:rsidR="007A7912" w:rsidRDefault="007A7912" w:rsidP="00AB6F96">
      <w:pPr>
        <w:pStyle w:val="Sansinterligne"/>
        <w:jc w:val="both"/>
        <w:rPr>
          <w:rFonts w:ascii="Marianne" w:hAnsi="Marianne" w:cs="Times New Roman"/>
          <w:lang w:eastAsia="fr-FR"/>
        </w:rPr>
      </w:pPr>
      <w:r w:rsidRPr="007A7912">
        <w:rPr>
          <w:rFonts w:ascii="Marianne ExtraBold" w:eastAsia="Calibri" w:hAnsi="Marianne ExtraBold"/>
          <w:b/>
          <w:sz w:val="44"/>
          <w:szCs w:val="26"/>
        </w:rPr>
        <w:t>Formation renforcée à la sécurité </w:t>
      </w:r>
    </w:p>
    <w:p w14:paraId="329F84E3" w14:textId="33D1D451" w:rsidR="007A7912" w:rsidRDefault="007A7912" w:rsidP="00AB6F96">
      <w:pPr>
        <w:pStyle w:val="Sansinterligne"/>
        <w:jc w:val="both"/>
        <w:rPr>
          <w:rFonts w:ascii="Marianne" w:hAnsi="Marianne" w:cs="Times New Roman"/>
          <w:lang w:eastAsia="fr-FR"/>
        </w:rPr>
      </w:pPr>
    </w:p>
    <w:p w14:paraId="13CAEF83" w14:textId="6B531E06" w:rsidR="000640D5" w:rsidRDefault="000640D5" w:rsidP="00AB6F96">
      <w:pPr>
        <w:pStyle w:val="Sansinterligne"/>
        <w:jc w:val="both"/>
        <w:rPr>
          <w:rFonts w:ascii="Marianne" w:hAnsi="Marianne" w:cs="Times New Roman"/>
          <w:lang w:eastAsia="fr-FR"/>
        </w:rPr>
      </w:pPr>
    </w:p>
    <w:tbl>
      <w:tblPr>
        <w:tblStyle w:val="Grilledutableau"/>
        <w:tblW w:w="10060" w:type="dxa"/>
        <w:tblBorders>
          <w:top w:val="single" w:sz="8" w:space="0" w:color="8EAADB" w:themeColor="accent5" w:themeTint="99"/>
          <w:left w:val="none" w:sz="0" w:space="0" w:color="auto"/>
          <w:bottom w:val="single" w:sz="8" w:space="0" w:color="8EAADB" w:themeColor="accent5" w:themeTint="99"/>
          <w:right w:val="none" w:sz="0" w:space="0" w:color="auto"/>
          <w:insideH w:val="single" w:sz="8" w:space="0" w:color="8EAADB" w:themeColor="accent5" w:themeTint="99"/>
          <w:insideV w:val="single" w:sz="8" w:space="0" w:color="8EAADB" w:themeColor="accent5" w:themeTint="99"/>
        </w:tblBorders>
        <w:shd w:val="clear" w:color="auto" w:fill="E2EFD9" w:themeFill="accent6" w:themeFillTint="33"/>
        <w:tblLook w:val="04A0" w:firstRow="1" w:lastRow="0" w:firstColumn="1" w:lastColumn="0" w:noHBand="0" w:noVBand="1"/>
      </w:tblPr>
      <w:tblGrid>
        <w:gridCol w:w="1980"/>
        <w:gridCol w:w="8080"/>
      </w:tblGrid>
      <w:tr w:rsidR="00B90ED7" w14:paraId="32338D4C" w14:textId="77777777" w:rsidTr="00B90ED7">
        <w:tc>
          <w:tcPr>
            <w:tcW w:w="1980" w:type="dxa"/>
            <w:shd w:val="clear" w:color="auto" w:fill="E2EFD9" w:themeFill="accent6" w:themeFillTint="33"/>
            <w:vAlign w:val="center"/>
          </w:tcPr>
          <w:p w14:paraId="543370B1" w14:textId="77777777" w:rsidR="00B90ED7" w:rsidRPr="00B90ED7" w:rsidRDefault="00E12CE3" w:rsidP="00B90ED7">
            <w:pPr>
              <w:pStyle w:val="Sansinterligne"/>
              <w:shd w:val="clear" w:color="auto" w:fill="E2EFD9" w:themeFill="accent6" w:themeFillTint="33"/>
              <w:jc w:val="both"/>
              <w:rPr>
                <w:rFonts w:ascii="Marianne" w:hAnsi="Marianne" w:cs="Times New Roman"/>
                <w:b/>
                <w:sz w:val="18"/>
                <w:lang w:eastAsia="fr-FR"/>
              </w:rPr>
            </w:pPr>
            <w:hyperlink r:id="rId10" w:history="1">
              <w:r w:rsidR="00B90ED7" w:rsidRPr="00B90ED7">
                <w:rPr>
                  <w:rStyle w:val="Lienhypertexte"/>
                  <w:rFonts w:ascii="Marianne" w:hAnsi="Marianne" w:cs="Times New Roman"/>
                  <w:b/>
                  <w:sz w:val="18"/>
                  <w:lang w:eastAsia="fr-FR"/>
                </w:rPr>
                <w:t>Article L. 4154-2 du code du travail</w:t>
              </w:r>
            </w:hyperlink>
          </w:p>
          <w:p w14:paraId="66A66BE1" w14:textId="77777777" w:rsidR="00B90ED7" w:rsidRDefault="00B90ED7" w:rsidP="00B90ED7">
            <w:pPr>
              <w:pStyle w:val="Sansinterligne"/>
              <w:jc w:val="center"/>
              <w:rPr>
                <w:rFonts w:ascii="Marianne" w:hAnsi="Marianne" w:cs="Times New Roman"/>
                <w:lang w:eastAsia="fr-FR"/>
              </w:rPr>
            </w:pPr>
          </w:p>
        </w:tc>
        <w:tc>
          <w:tcPr>
            <w:tcW w:w="8080" w:type="dxa"/>
            <w:shd w:val="clear" w:color="auto" w:fill="E2EFD9" w:themeFill="accent6" w:themeFillTint="33"/>
          </w:tcPr>
          <w:p w14:paraId="61468A70" w14:textId="77777777" w:rsidR="00B90ED7" w:rsidRPr="000640D5" w:rsidRDefault="00B90ED7" w:rsidP="00B90ED7">
            <w:pPr>
              <w:pStyle w:val="Sansinterligne"/>
              <w:shd w:val="clear" w:color="auto" w:fill="E2EFD9" w:themeFill="accent6" w:themeFillTint="33"/>
              <w:jc w:val="both"/>
              <w:rPr>
                <w:rFonts w:ascii="Marianne" w:hAnsi="Marianne" w:cs="Times New Roman"/>
                <w:i/>
                <w:sz w:val="20"/>
                <w:lang w:eastAsia="fr-FR"/>
              </w:rPr>
            </w:pPr>
            <w:r w:rsidRPr="000640D5">
              <w:rPr>
                <w:rFonts w:ascii="Marianne" w:hAnsi="Marianne" w:cs="Times New Roman"/>
                <w:sz w:val="20"/>
                <w:lang w:eastAsia="fr-FR"/>
              </w:rPr>
              <w:t>« </w:t>
            </w:r>
            <w:r w:rsidRPr="000640D5">
              <w:rPr>
                <w:rFonts w:ascii="Marianne" w:hAnsi="Marianne" w:cs="Times New Roman"/>
                <w:i/>
                <w:sz w:val="20"/>
                <w:lang w:eastAsia="fr-FR"/>
              </w:rPr>
              <w:t xml:space="preserve">Les salariés titulaires d'un contrat de travail à durée déterminée, les salariés temporaires et les stagiaires en entreprise affectés à des postes de travail présentant des risques particuliers pour leur santé ou leur sécurité bénéficient d'une formation renforcée à la sécurité ainsi que d'un accueil et d'une information adaptés dans l'entreprise dans laquelle ils sont employés. </w:t>
            </w:r>
          </w:p>
          <w:p w14:paraId="6A39D7B5" w14:textId="77777777" w:rsidR="00B90ED7" w:rsidRPr="000640D5" w:rsidRDefault="00B90ED7" w:rsidP="00B90ED7">
            <w:pPr>
              <w:pStyle w:val="Sansinterligne"/>
              <w:shd w:val="clear" w:color="auto" w:fill="E2EFD9" w:themeFill="accent6" w:themeFillTint="33"/>
              <w:jc w:val="both"/>
              <w:rPr>
                <w:rFonts w:ascii="Marianne" w:hAnsi="Marianne" w:cs="Times New Roman"/>
                <w:sz w:val="20"/>
                <w:lang w:eastAsia="fr-FR"/>
              </w:rPr>
            </w:pPr>
            <w:r w:rsidRPr="000640D5">
              <w:rPr>
                <w:rFonts w:ascii="Marianne" w:hAnsi="Marianne" w:cs="Times New Roman"/>
                <w:i/>
                <w:sz w:val="20"/>
                <w:lang w:eastAsia="fr-FR"/>
              </w:rPr>
              <w:t xml:space="preserve">La liste de ces postes de travail est établie par l'employeur, après avis du médecin du travail et du comité social et économique, s'il existe. Elle est tenue à la disposition de l'agent de contrôle de l'inspection du travail mentionné à l'article </w:t>
            </w:r>
            <w:hyperlink r:id="rId11" w:history="1">
              <w:r w:rsidRPr="000640D5">
                <w:rPr>
                  <w:rFonts w:ascii="Marianne" w:hAnsi="Marianne" w:cs="Times New Roman"/>
                  <w:i/>
                  <w:sz w:val="20"/>
                  <w:lang w:eastAsia="fr-FR"/>
                </w:rPr>
                <w:t>L. 8112-1</w:t>
              </w:r>
            </w:hyperlink>
            <w:r w:rsidRPr="000640D5">
              <w:rPr>
                <w:rFonts w:ascii="Marianne" w:hAnsi="Marianne" w:cs="Times New Roman"/>
                <w:sz w:val="20"/>
                <w:lang w:eastAsia="fr-FR"/>
              </w:rPr>
              <w:t> ».</w:t>
            </w:r>
          </w:p>
          <w:p w14:paraId="1985845C" w14:textId="77777777" w:rsidR="00B90ED7" w:rsidRDefault="00B90ED7" w:rsidP="00AB6F96">
            <w:pPr>
              <w:pStyle w:val="Sansinterligne"/>
              <w:jc w:val="both"/>
              <w:rPr>
                <w:rFonts w:ascii="Marianne" w:hAnsi="Marianne" w:cs="Times New Roman"/>
                <w:lang w:eastAsia="fr-FR"/>
              </w:rPr>
            </w:pPr>
          </w:p>
        </w:tc>
      </w:tr>
    </w:tbl>
    <w:p w14:paraId="6EB3B72D" w14:textId="77777777" w:rsidR="000640D5" w:rsidRPr="007A7912" w:rsidRDefault="000640D5" w:rsidP="00AB6F96">
      <w:pPr>
        <w:pStyle w:val="Sansinterligne"/>
        <w:jc w:val="both"/>
        <w:rPr>
          <w:rFonts w:ascii="Marianne" w:hAnsi="Marianne" w:cs="Times New Roman"/>
          <w:lang w:eastAsia="fr-FR"/>
        </w:rPr>
      </w:pPr>
    </w:p>
    <w:p w14:paraId="5DAB6C7B" w14:textId="77777777" w:rsidR="0047018B" w:rsidRPr="000640D5" w:rsidRDefault="0047018B" w:rsidP="00AB6F96">
      <w:pPr>
        <w:pStyle w:val="Sansinterligne"/>
        <w:jc w:val="both"/>
        <w:rPr>
          <w:rFonts w:ascii="Marianne" w:hAnsi="Marianne" w:cs="Times New Roman"/>
          <w:sz w:val="20"/>
          <w:lang w:eastAsia="fr-FR"/>
        </w:rPr>
      </w:pPr>
      <w:bookmarkStart w:id="0" w:name="_GoBack"/>
      <w:bookmarkEnd w:id="0"/>
    </w:p>
    <w:p w14:paraId="6EAFC1B6" w14:textId="77777777" w:rsidR="00AB6F96" w:rsidRPr="000640D5" w:rsidRDefault="00AB6F96" w:rsidP="00AB6F96">
      <w:pPr>
        <w:pStyle w:val="Sansinterligne"/>
        <w:jc w:val="both"/>
        <w:rPr>
          <w:rFonts w:ascii="Marianne" w:hAnsi="Marianne" w:cs="Times New Roman"/>
          <w:sz w:val="20"/>
          <w:lang w:eastAsia="fr-FR"/>
        </w:rPr>
      </w:pPr>
      <w:r w:rsidRPr="000640D5">
        <w:rPr>
          <w:rFonts w:ascii="Marianne" w:hAnsi="Marianne" w:cs="Times New Roman"/>
          <w:sz w:val="20"/>
          <w:lang w:eastAsia="fr-FR"/>
        </w:rPr>
        <w:t xml:space="preserve">Le </w:t>
      </w:r>
      <w:hyperlink r:id="rId12" w:tgtFrame="_blank" w:history="1">
        <w:r w:rsidRPr="000640D5">
          <w:rPr>
            <w:rFonts w:ascii="Marianne" w:hAnsi="Marianne" w:cs="Times New Roman"/>
            <w:sz w:val="20"/>
            <w:lang w:eastAsia="fr-FR"/>
          </w:rPr>
          <w:t>code du travail</w:t>
        </w:r>
      </w:hyperlink>
      <w:r w:rsidRPr="000640D5">
        <w:rPr>
          <w:rFonts w:ascii="Marianne" w:hAnsi="Marianne" w:cs="Times New Roman"/>
          <w:sz w:val="20"/>
          <w:lang w:eastAsia="fr-FR"/>
        </w:rPr>
        <w:t xml:space="preserve"> ne donne pas de définition d’un risque particulier : ce sont les juges qui donnent le contour de cette notion. C’est ainsi que le travail en hauteur vient d’être confirmé comme un risque particulier nécessitant la réalisation d’une formation renforcée.</w:t>
      </w:r>
    </w:p>
    <w:p w14:paraId="02EB378F" w14:textId="77777777" w:rsidR="00AB6F96" w:rsidRPr="000640D5" w:rsidRDefault="00AB6F96" w:rsidP="00AB6F96">
      <w:pPr>
        <w:pStyle w:val="Sansinterligne"/>
        <w:jc w:val="both"/>
        <w:rPr>
          <w:rFonts w:ascii="Marianne" w:hAnsi="Marianne" w:cs="Times New Roman"/>
          <w:sz w:val="20"/>
          <w:lang w:eastAsia="fr-FR"/>
        </w:rPr>
      </w:pPr>
    </w:p>
    <w:p w14:paraId="0712A22E" w14:textId="6051132B" w:rsidR="00AB6F96" w:rsidRPr="000640D5" w:rsidRDefault="00AB6F96" w:rsidP="00AB6F96">
      <w:pPr>
        <w:pStyle w:val="Sansinterligne"/>
        <w:jc w:val="both"/>
        <w:rPr>
          <w:rFonts w:ascii="Marianne" w:hAnsi="Marianne" w:cs="Times New Roman"/>
          <w:b/>
          <w:bCs/>
          <w:sz w:val="20"/>
          <w:lang w:eastAsia="fr-FR"/>
        </w:rPr>
      </w:pPr>
    </w:p>
    <w:p w14:paraId="6A05A809" w14:textId="3B3D92CB" w:rsidR="00AB6F96" w:rsidRDefault="000640D5" w:rsidP="00AB6F96">
      <w:pPr>
        <w:pStyle w:val="Sansinterligne"/>
        <w:jc w:val="both"/>
        <w:rPr>
          <w:rFonts w:ascii="Marianne" w:hAnsi="Marianne"/>
          <w:b/>
          <w:bCs/>
          <w:color w:val="800080"/>
          <w:sz w:val="32"/>
          <w:szCs w:val="28"/>
        </w:rPr>
      </w:pPr>
      <w:r w:rsidRPr="000640D5">
        <w:rPr>
          <w:rFonts w:ascii="Marianne" w:hAnsi="Marianne"/>
          <w:b/>
          <w:bCs/>
          <w:color w:val="800080"/>
          <w:sz w:val="32"/>
          <w:szCs w:val="28"/>
        </w:rPr>
        <w:t>Formation renforcée à la sécurité : la liste des postes à risque</w:t>
      </w:r>
    </w:p>
    <w:p w14:paraId="44355714" w14:textId="77777777" w:rsidR="000640D5" w:rsidRPr="000640D5" w:rsidRDefault="000640D5" w:rsidP="00AB6F96">
      <w:pPr>
        <w:pStyle w:val="Sansinterligne"/>
        <w:jc w:val="both"/>
        <w:rPr>
          <w:rFonts w:ascii="Marianne" w:hAnsi="Marianne" w:cs="Times New Roman"/>
          <w:b/>
          <w:bCs/>
          <w:sz w:val="20"/>
          <w:szCs w:val="20"/>
          <w:lang w:eastAsia="fr-FR"/>
        </w:rPr>
      </w:pPr>
    </w:p>
    <w:p w14:paraId="7876CB37" w14:textId="77777777" w:rsidR="00AB6F96" w:rsidRPr="000640D5" w:rsidRDefault="00AB6F96" w:rsidP="00AB6F96">
      <w:pPr>
        <w:pStyle w:val="Sansinterligne"/>
        <w:jc w:val="both"/>
        <w:rPr>
          <w:rFonts w:ascii="Marianne" w:hAnsi="Marianne" w:cs="Times New Roman"/>
          <w:sz w:val="20"/>
          <w:szCs w:val="20"/>
          <w:lang w:eastAsia="fr-FR"/>
        </w:rPr>
      </w:pPr>
      <w:r w:rsidRPr="000640D5">
        <w:rPr>
          <w:rFonts w:ascii="Marianne" w:hAnsi="Marianne" w:cs="Times New Roman"/>
          <w:sz w:val="20"/>
          <w:szCs w:val="20"/>
          <w:lang w:eastAsia="fr-FR"/>
        </w:rPr>
        <w:t xml:space="preserve">Une liste des postes à risque existants dans l’entreprise doit être réalisée et mise à jour régulièrement. Cette liste doit être élaborée par l’employeur qui la soumet dans un deuxième temps pour avis au médecin du travail et au </w:t>
      </w:r>
      <w:proofErr w:type="spellStart"/>
      <w:r w:rsidRPr="000640D5">
        <w:rPr>
          <w:rFonts w:ascii="Marianne" w:hAnsi="Marianne" w:cs="Times New Roman"/>
          <w:sz w:val="20"/>
          <w:szCs w:val="20"/>
          <w:lang w:eastAsia="fr-FR"/>
        </w:rPr>
        <w:t>CSE</w:t>
      </w:r>
      <w:proofErr w:type="spellEnd"/>
      <w:r w:rsidRPr="000640D5">
        <w:rPr>
          <w:rFonts w:ascii="Marianne" w:hAnsi="Marianne" w:cs="Times New Roman"/>
          <w:sz w:val="20"/>
          <w:szCs w:val="20"/>
          <w:lang w:eastAsia="fr-FR"/>
        </w:rPr>
        <w:t>.</w:t>
      </w:r>
    </w:p>
    <w:p w14:paraId="467FA466" w14:textId="77777777" w:rsidR="00AB6F96" w:rsidRPr="000640D5" w:rsidRDefault="00AB6F96" w:rsidP="00AB6F96">
      <w:pPr>
        <w:pStyle w:val="Sansinterligne"/>
        <w:jc w:val="both"/>
        <w:rPr>
          <w:rFonts w:ascii="Marianne" w:hAnsi="Marianne" w:cs="Times New Roman"/>
          <w:sz w:val="20"/>
          <w:szCs w:val="20"/>
          <w:lang w:eastAsia="fr-FR"/>
        </w:rPr>
      </w:pPr>
      <w:r w:rsidRPr="000640D5">
        <w:rPr>
          <w:rFonts w:ascii="Marianne" w:hAnsi="Marianne" w:cs="Times New Roman"/>
          <w:sz w:val="20"/>
          <w:szCs w:val="20"/>
          <w:lang w:eastAsia="fr-FR"/>
        </w:rPr>
        <w:t>Une transmission doit ensuite être effectuée auprès de l’inspecteur du travail.</w:t>
      </w:r>
    </w:p>
    <w:p w14:paraId="5A39BBE3" w14:textId="77777777" w:rsidR="00AB6F96" w:rsidRPr="000640D5" w:rsidRDefault="00AB6F96" w:rsidP="00AB6F96">
      <w:pPr>
        <w:pStyle w:val="Sansinterligne"/>
        <w:jc w:val="both"/>
        <w:rPr>
          <w:rFonts w:ascii="Marianne" w:hAnsi="Marianne" w:cs="Times New Roman"/>
          <w:sz w:val="20"/>
          <w:szCs w:val="20"/>
          <w:lang w:eastAsia="fr-FR"/>
        </w:rPr>
      </w:pPr>
    </w:p>
    <w:p w14:paraId="1F446D29" w14:textId="0496CF91" w:rsidR="064FFEB6" w:rsidRPr="000640D5" w:rsidRDefault="064FFEB6" w:rsidP="000A6ACB">
      <w:pPr>
        <w:shd w:val="clear" w:color="auto" w:fill="FFFFFF" w:themeFill="background1"/>
        <w:spacing w:before="60" w:after="0" w:line="360" w:lineRule="exact"/>
        <w:rPr>
          <w:rFonts w:ascii="Marianne" w:eastAsia="PT Sans" w:hAnsi="Marianne" w:cs="PT Sans"/>
          <w:color w:val="333333"/>
          <w:sz w:val="20"/>
          <w:szCs w:val="20"/>
        </w:rPr>
      </w:pPr>
      <w:r w:rsidRPr="00EC2193">
        <w:rPr>
          <w:rFonts w:ascii="Marianne" w:eastAsia="PT Sans" w:hAnsi="Marianne" w:cs="PT Sans"/>
          <w:sz w:val="20"/>
          <w:szCs w:val="20"/>
        </w:rPr>
        <w:t xml:space="preserve">La liste est tenue </w:t>
      </w:r>
      <w:r w:rsidRPr="000640D5">
        <w:rPr>
          <w:rFonts w:ascii="Marianne" w:eastAsia="PT Sans" w:hAnsi="Marianne" w:cs="PT Sans"/>
          <w:color w:val="333333"/>
          <w:sz w:val="20"/>
          <w:szCs w:val="20"/>
        </w:rPr>
        <w:t>à la disposition de l'inspecteur du travail et plus transmise</w:t>
      </w:r>
    </w:p>
    <w:p w14:paraId="437C5A70" w14:textId="21992A8F" w:rsidR="064FFEB6" w:rsidRPr="00EC2193" w:rsidRDefault="064FFEB6" w:rsidP="000A6ACB">
      <w:pPr>
        <w:pStyle w:val="Sansinterligne"/>
        <w:jc w:val="both"/>
        <w:rPr>
          <w:rStyle w:val="Lienhypertexte"/>
          <w:rFonts w:ascii="Marianne" w:eastAsia="PT Sans" w:hAnsi="Marianne" w:cs="PT Sans"/>
          <w:sz w:val="18"/>
          <w:szCs w:val="20"/>
        </w:rPr>
      </w:pPr>
      <w:r w:rsidRPr="00EC2193">
        <w:rPr>
          <w:rFonts w:ascii="Marianne" w:eastAsia="PT Sans" w:hAnsi="Marianne" w:cs="PT Sans"/>
          <w:color w:val="333333"/>
          <w:sz w:val="18"/>
          <w:szCs w:val="20"/>
        </w:rPr>
        <w:t xml:space="preserve">C. </w:t>
      </w:r>
      <w:proofErr w:type="spellStart"/>
      <w:r w:rsidRPr="00EC2193">
        <w:rPr>
          <w:rFonts w:ascii="Marianne" w:eastAsia="PT Sans" w:hAnsi="Marianne" w:cs="PT Sans"/>
          <w:color w:val="333333"/>
          <w:sz w:val="18"/>
          <w:szCs w:val="20"/>
        </w:rPr>
        <w:t>trav</w:t>
      </w:r>
      <w:proofErr w:type="spellEnd"/>
      <w:r w:rsidRPr="00EC2193">
        <w:rPr>
          <w:rFonts w:ascii="Marianne" w:eastAsia="PT Sans" w:hAnsi="Marianne" w:cs="PT Sans"/>
          <w:color w:val="333333"/>
          <w:sz w:val="18"/>
          <w:szCs w:val="20"/>
        </w:rPr>
        <w:t xml:space="preserve">., art. </w:t>
      </w:r>
      <w:hyperlink r:id="rId13" w:history="1">
        <w:r w:rsidRPr="00EC2193">
          <w:rPr>
            <w:rStyle w:val="Lienhypertexte"/>
            <w:rFonts w:ascii="Marianne" w:eastAsia="PT Sans" w:hAnsi="Marianne" w:cs="PT Sans"/>
            <w:sz w:val="18"/>
            <w:szCs w:val="20"/>
          </w:rPr>
          <w:t>L. 4154-2</w:t>
        </w:r>
      </w:hyperlink>
    </w:p>
    <w:p w14:paraId="0C9C8CDF" w14:textId="140DA0B7" w:rsidR="25B1BAC8" w:rsidRPr="000640D5" w:rsidRDefault="25B1BAC8" w:rsidP="25B1BAC8">
      <w:pPr>
        <w:pStyle w:val="Sansinterligne"/>
        <w:jc w:val="both"/>
        <w:rPr>
          <w:rStyle w:val="Lienhypertexte"/>
          <w:rFonts w:ascii="Marianne" w:eastAsia="PT Sans" w:hAnsi="Marianne" w:cs="PT Sans"/>
          <w:sz w:val="20"/>
          <w:szCs w:val="20"/>
        </w:rPr>
      </w:pPr>
    </w:p>
    <w:p w14:paraId="05AC09EF" w14:textId="2F7CC3F8" w:rsidR="25B1BAC8" w:rsidRPr="000640D5" w:rsidRDefault="25B1BAC8" w:rsidP="25B1BAC8">
      <w:pPr>
        <w:pStyle w:val="Sansinterligne"/>
        <w:jc w:val="both"/>
        <w:rPr>
          <w:rStyle w:val="Lienhypertexte"/>
          <w:rFonts w:ascii="Marianne" w:eastAsia="PT Sans" w:hAnsi="Marianne" w:cs="PT Sans"/>
          <w:sz w:val="20"/>
          <w:szCs w:val="20"/>
        </w:rPr>
      </w:pPr>
    </w:p>
    <w:p w14:paraId="39966E3A" w14:textId="77777777" w:rsidR="00AB6F96" w:rsidRPr="00EC2193" w:rsidRDefault="00AB6F96" w:rsidP="00CD0DE7">
      <w:pPr>
        <w:pStyle w:val="Sansinterligne"/>
        <w:shd w:val="clear" w:color="auto" w:fill="D9E2F3" w:themeFill="accent5" w:themeFillTint="33"/>
        <w:spacing w:after="120"/>
        <w:jc w:val="both"/>
        <w:rPr>
          <w:rFonts w:ascii="Marianne" w:hAnsi="Marianne" w:cs="Times New Roman"/>
          <w:b/>
          <w:sz w:val="20"/>
          <w:szCs w:val="20"/>
          <w:lang w:eastAsia="fr-FR"/>
        </w:rPr>
      </w:pPr>
      <w:r w:rsidRPr="00EC2193">
        <w:rPr>
          <w:rFonts w:ascii="Marianne" w:hAnsi="Marianne" w:cs="Times New Roman"/>
          <w:b/>
          <w:sz w:val="20"/>
          <w:szCs w:val="20"/>
          <w:lang w:eastAsia="fr-FR"/>
        </w:rPr>
        <w:t>Doivent figurer sur cette liste notamment les postes :</w:t>
      </w:r>
    </w:p>
    <w:p w14:paraId="482E5DC7" w14:textId="77777777" w:rsidR="00AB6F96" w:rsidRPr="000640D5" w:rsidRDefault="00AB6F96" w:rsidP="00CD0DE7">
      <w:pPr>
        <w:pStyle w:val="Sansinterligne"/>
        <w:numPr>
          <w:ilvl w:val="0"/>
          <w:numId w:val="4"/>
        </w:numPr>
        <w:shd w:val="clear" w:color="auto" w:fill="D9E2F3" w:themeFill="accent5" w:themeFillTint="33"/>
        <w:ind w:left="0" w:firstLine="0"/>
        <w:jc w:val="both"/>
        <w:rPr>
          <w:rFonts w:ascii="Marianne" w:hAnsi="Marianne" w:cs="Times New Roman"/>
          <w:sz w:val="20"/>
          <w:szCs w:val="20"/>
          <w:lang w:eastAsia="fr-FR"/>
        </w:rPr>
      </w:pPr>
      <w:proofErr w:type="gramStart"/>
      <w:r w:rsidRPr="000640D5">
        <w:rPr>
          <w:rFonts w:ascii="Marianne" w:hAnsi="Marianne" w:cs="Times New Roman"/>
          <w:sz w:val="20"/>
          <w:szCs w:val="20"/>
          <w:lang w:eastAsia="fr-FR"/>
        </w:rPr>
        <w:t>exposant</w:t>
      </w:r>
      <w:proofErr w:type="gramEnd"/>
      <w:r w:rsidRPr="000640D5">
        <w:rPr>
          <w:rFonts w:ascii="Marianne" w:hAnsi="Marianne" w:cs="Times New Roman"/>
          <w:sz w:val="20"/>
          <w:szCs w:val="20"/>
          <w:lang w:eastAsia="fr-FR"/>
        </w:rPr>
        <w:t xml:space="preserve"> à des produits chimiques dangereux</w:t>
      </w:r>
      <w:r w:rsidRPr="000640D5">
        <w:rPr>
          <w:rFonts w:ascii="Times New Roman" w:hAnsi="Times New Roman" w:cs="Times New Roman"/>
          <w:sz w:val="20"/>
          <w:szCs w:val="20"/>
          <w:lang w:eastAsia="fr-FR"/>
        </w:rPr>
        <w:t> </w:t>
      </w:r>
      <w:r w:rsidRPr="000640D5">
        <w:rPr>
          <w:rFonts w:ascii="Marianne" w:hAnsi="Marianne" w:cs="Times New Roman"/>
          <w:sz w:val="20"/>
          <w:szCs w:val="20"/>
          <w:lang w:eastAsia="fr-FR"/>
        </w:rPr>
        <w:t>;</w:t>
      </w:r>
    </w:p>
    <w:p w14:paraId="32F4A9BD" w14:textId="77777777" w:rsidR="00AB6F96" w:rsidRPr="000640D5" w:rsidRDefault="00AB6F96" w:rsidP="00CD0DE7">
      <w:pPr>
        <w:pStyle w:val="Sansinterligne"/>
        <w:numPr>
          <w:ilvl w:val="0"/>
          <w:numId w:val="4"/>
        </w:numPr>
        <w:shd w:val="clear" w:color="auto" w:fill="D9E2F3" w:themeFill="accent5" w:themeFillTint="33"/>
        <w:ind w:left="0" w:firstLine="0"/>
        <w:jc w:val="both"/>
        <w:rPr>
          <w:rFonts w:ascii="Marianne" w:hAnsi="Marianne" w:cs="Times New Roman"/>
          <w:sz w:val="20"/>
          <w:szCs w:val="20"/>
          <w:lang w:eastAsia="fr-FR"/>
        </w:rPr>
      </w:pPr>
      <w:proofErr w:type="gramStart"/>
      <w:r w:rsidRPr="000640D5">
        <w:rPr>
          <w:rFonts w:ascii="Marianne" w:hAnsi="Marianne" w:cs="Times New Roman"/>
          <w:sz w:val="20"/>
          <w:szCs w:val="20"/>
          <w:lang w:eastAsia="fr-FR"/>
        </w:rPr>
        <w:t>au</w:t>
      </w:r>
      <w:proofErr w:type="gramEnd"/>
      <w:r w:rsidRPr="000640D5">
        <w:rPr>
          <w:rFonts w:ascii="Marianne" w:hAnsi="Marianne" w:cs="Times New Roman"/>
          <w:sz w:val="20"/>
          <w:szCs w:val="20"/>
          <w:lang w:eastAsia="fr-FR"/>
        </w:rPr>
        <w:t xml:space="preserve"> contact avec une machine présentant des risques d’explosion</w:t>
      </w:r>
      <w:r w:rsidRPr="000640D5">
        <w:rPr>
          <w:rFonts w:ascii="Times New Roman" w:hAnsi="Times New Roman" w:cs="Times New Roman"/>
          <w:sz w:val="20"/>
          <w:szCs w:val="20"/>
          <w:lang w:eastAsia="fr-FR"/>
        </w:rPr>
        <w:t> </w:t>
      </w:r>
      <w:r w:rsidRPr="000640D5">
        <w:rPr>
          <w:rFonts w:ascii="Marianne" w:hAnsi="Marianne" w:cs="Times New Roman"/>
          <w:sz w:val="20"/>
          <w:szCs w:val="20"/>
          <w:lang w:eastAsia="fr-FR"/>
        </w:rPr>
        <w:t>;</w:t>
      </w:r>
    </w:p>
    <w:p w14:paraId="429E58AC" w14:textId="77777777" w:rsidR="00AB6F96" w:rsidRPr="000640D5" w:rsidRDefault="00AB6F96" w:rsidP="00CD0DE7">
      <w:pPr>
        <w:pStyle w:val="Sansinterligne"/>
        <w:numPr>
          <w:ilvl w:val="0"/>
          <w:numId w:val="4"/>
        </w:numPr>
        <w:shd w:val="clear" w:color="auto" w:fill="D9E2F3" w:themeFill="accent5" w:themeFillTint="33"/>
        <w:ind w:left="0" w:firstLine="0"/>
        <w:jc w:val="both"/>
        <w:rPr>
          <w:rFonts w:ascii="Marianne" w:hAnsi="Marianne" w:cs="Times New Roman"/>
          <w:sz w:val="20"/>
          <w:szCs w:val="20"/>
          <w:lang w:eastAsia="fr-FR"/>
        </w:rPr>
      </w:pPr>
      <w:proofErr w:type="gramStart"/>
      <w:r w:rsidRPr="000640D5">
        <w:rPr>
          <w:rFonts w:ascii="Marianne" w:hAnsi="Marianne" w:cs="Times New Roman"/>
          <w:sz w:val="20"/>
          <w:szCs w:val="20"/>
          <w:lang w:eastAsia="fr-FR"/>
        </w:rPr>
        <w:t>en</w:t>
      </w:r>
      <w:proofErr w:type="gramEnd"/>
      <w:r w:rsidRPr="000640D5">
        <w:rPr>
          <w:rFonts w:ascii="Marianne" w:hAnsi="Marianne" w:cs="Times New Roman"/>
          <w:sz w:val="20"/>
          <w:szCs w:val="20"/>
          <w:lang w:eastAsia="fr-FR"/>
        </w:rPr>
        <w:t xml:space="preserve"> hauteur</w:t>
      </w:r>
      <w:r w:rsidRPr="000640D5">
        <w:rPr>
          <w:rFonts w:ascii="Times New Roman" w:hAnsi="Times New Roman" w:cs="Times New Roman"/>
          <w:sz w:val="20"/>
          <w:szCs w:val="20"/>
          <w:lang w:eastAsia="fr-FR"/>
        </w:rPr>
        <w:t> </w:t>
      </w:r>
      <w:r w:rsidRPr="000640D5">
        <w:rPr>
          <w:rFonts w:ascii="Marianne" w:hAnsi="Marianne" w:cs="Times New Roman"/>
          <w:sz w:val="20"/>
          <w:szCs w:val="20"/>
          <w:lang w:eastAsia="fr-FR"/>
        </w:rPr>
        <w:t>;</w:t>
      </w:r>
    </w:p>
    <w:p w14:paraId="05C9C430" w14:textId="77777777" w:rsidR="00AB6F96" w:rsidRPr="000640D5" w:rsidRDefault="00AB6F96" w:rsidP="00CD0DE7">
      <w:pPr>
        <w:pStyle w:val="Sansinterligne"/>
        <w:numPr>
          <w:ilvl w:val="0"/>
          <w:numId w:val="4"/>
        </w:numPr>
        <w:shd w:val="clear" w:color="auto" w:fill="D9E2F3" w:themeFill="accent5" w:themeFillTint="33"/>
        <w:ind w:left="0" w:firstLine="0"/>
        <w:jc w:val="both"/>
        <w:rPr>
          <w:rFonts w:ascii="Marianne" w:hAnsi="Marianne" w:cs="Times New Roman"/>
          <w:sz w:val="20"/>
          <w:szCs w:val="20"/>
          <w:lang w:eastAsia="fr-FR"/>
        </w:rPr>
      </w:pPr>
      <w:proofErr w:type="gramStart"/>
      <w:r w:rsidRPr="000640D5">
        <w:rPr>
          <w:rFonts w:ascii="Marianne" w:hAnsi="Marianne" w:cs="Times New Roman"/>
          <w:sz w:val="20"/>
          <w:szCs w:val="20"/>
          <w:lang w:eastAsia="fr-FR"/>
        </w:rPr>
        <w:t>nécessitant</w:t>
      </w:r>
      <w:proofErr w:type="gramEnd"/>
      <w:r w:rsidRPr="000640D5">
        <w:rPr>
          <w:rFonts w:ascii="Marianne" w:hAnsi="Marianne" w:cs="Times New Roman"/>
          <w:sz w:val="20"/>
          <w:szCs w:val="20"/>
          <w:lang w:eastAsia="fr-FR"/>
        </w:rPr>
        <w:t xml:space="preserve"> une formation particulière avant la prise de poste</w:t>
      </w:r>
      <w:r w:rsidRPr="000640D5">
        <w:rPr>
          <w:rFonts w:ascii="Times New Roman" w:hAnsi="Times New Roman" w:cs="Times New Roman"/>
          <w:sz w:val="20"/>
          <w:szCs w:val="20"/>
          <w:lang w:eastAsia="fr-FR"/>
        </w:rPr>
        <w:t> </w:t>
      </w:r>
      <w:r w:rsidRPr="000640D5">
        <w:rPr>
          <w:rFonts w:ascii="Marianne" w:hAnsi="Marianne" w:cs="Times New Roman"/>
          <w:sz w:val="20"/>
          <w:szCs w:val="20"/>
          <w:lang w:eastAsia="fr-FR"/>
        </w:rPr>
        <w:t>;</w:t>
      </w:r>
    </w:p>
    <w:p w14:paraId="15DAED0D" w14:textId="77777777" w:rsidR="00AB6F96" w:rsidRPr="000640D5" w:rsidRDefault="00AB6F96" w:rsidP="00CD0DE7">
      <w:pPr>
        <w:pStyle w:val="Sansinterligne"/>
        <w:numPr>
          <w:ilvl w:val="0"/>
          <w:numId w:val="4"/>
        </w:numPr>
        <w:shd w:val="clear" w:color="auto" w:fill="D9E2F3" w:themeFill="accent5" w:themeFillTint="33"/>
        <w:ind w:left="0" w:firstLine="0"/>
        <w:jc w:val="both"/>
        <w:rPr>
          <w:rFonts w:ascii="Marianne" w:hAnsi="Marianne" w:cs="Times New Roman"/>
          <w:sz w:val="20"/>
          <w:szCs w:val="20"/>
          <w:lang w:eastAsia="fr-FR"/>
        </w:rPr>
      </w:pPr>
      <w:r w:rsidRPr="000640D5">
        <w:rPr>
          <w:rFonts w:ascii="Marianne" w:hAnsi="Marianne" w:cs="Times New Roman"/>
          <w:sz w:val="20"/>
          <w:szCs w:val="20"/>
          <w:lang w:eastAsia="fr-FR"/>
        </w:rPr>
        <w:t xml:space="preserve">sur lesquels des accidents graves ou des </w:t>
      </w:r>
      <w:hyperlink r:id="rId14" w:tgtFrame="_blank" w:history="1">
        <w:r w:rsidRPr="000640D5">
          <w:rPr>
            <w:rFonts w:ascii="Marianne" w:hAnsi="Marianne" w:cs="Times New Roman"/>
            <w:sz w:val="20"/>
            <w:szCs w:val="20"/>
            <w:lang w:eastAsia="fr-FR"/>
          </w:rPr>
          <w:t>maladies professionnelles</w:t>
        </w:r>
      </w:hyperlink>
      <w:r w:rsidRPr="000640D5">
        <w:rPr>
          <w:rFonts w:ascii="Marianne" w:hAnsi="Marianne" w:cs="Times New Roman"/>
          <w:sz w:val="20"/>
          <w:szCs w:val="20"/>
          <w:lang w:eastAsia="fr-FR"/>
        </w:rPr>
        <w:t xml:space="preserve"> ont été mis en évidence.</w:t>
      </w:r>
    </w:p>
    <w:p w14:paraId="41C8F396" w14:textId="77777777" w:rsidR="00AB6F96" w:rsidRPr="000640D5" w:rsidRDefault="00AB6F96" w:rsidP="00AB6F96">
      <w:pPr>
        <w:pStyle w:val="Sansinterligne"/>
        <w:jc w:val="both"/>
        <w:rPr>
          <w:rFonts w:ascii="Marianne" w:hAnsi="Marianne" w:cs="Times New Roman"/>
          <w:sz w:val="20"/>
          <w:szCs w:val="20"/>
          <w:lang w:eastAsia="fr-FR"/>
        </w:rPr>
      </w:pPr>
    </w:p>
    <w:p w14:paraId="1B65625C" w14:textId="77777777" w:rsidR="00AB6F96" w:rsidRPr="000640D5" w:rsidRDefault="00AB6F96" w:rsidP="00AB6F96">
      <w:pPr>
        <w:pStyle w:val="Sansinterligne"/>
        <w:jc w:val="both"/>
        <w:rPr>
          <w:rFonts w:ascii="Marianne" w:hAnsi="Marianne" w:cs="Times New Roman"/>
          <w:sz w:val="20"/>
          <w:szCs w:val="20"/>
          <w:lang w:eastAsia="fr-FR"/>
        </w:rPr>
      </w:pPr>
      <w:r w:rsidRPr="000640D5">
        <w:rPr>
          <w:rFonts w:ascii="Marianne" w:hAnsi="Marianne" w:cs="Times New Roman"/>
          <w:sz w:val="20"/>
          <w:szCs w:val="20"/>
          <w:lang w:eastAsia="fr-FR"/>
        </w:rPr>
        <w:t>Le contenu de cette liste ne limite pas le champ des risques particuliers dans l’entreprise. Si un juge considère qu’un poste n’a pas été inscrit dans la liste alors même qu’il présente un ou plusieurs risques particuliers, l’absence de formation renforcée est considérée comme fautive et entraîne la mise en jeu de la responsabilité de l’employeur.</w:t>
      </w:r>
    </w:p>
    <w:p w14:paraId="4CE26B4E" w14:textId="253B807B" w:rsidR="000640D5" w:rsidRDefault="000640D5" w:rsidP="00AB6F96">
      <w:pPr>
        <w:pStyle w:val="Sansinterligne"/>
        <w:jc w:val="both"/>
        <w:rPr>
          <w:rFonts w:ascii="Marianne" w:hAnsi="Marianne" w:cs="Times New Roman"/>
          <w:sz w:val="20"/>
          <w:szCs w:val="20"/>
          <w:lang w:eastAsia="fr-FR"/>
        </w:rPr>
      </w:pPr>
    </w:p>
    <w:p w14:paraId="76BCACCC" w14:textId="77777777" w:rsidR="000640D5" w:rsidRDefault="000640D5" w:rsidP="00AB6F96">
      <w:pPr>
        <w:pStyle w:val="Sansinterligne"/>
        <w:jc w:val="both"/>
        <w:rPr>
          <w:rFonts w:ascii="Marianne" w:hAnsi="Marianne" w:cs="Times New Roman"/>
          <w:sz w:val="20"/>
          <w:szCs w:val="20"/>
          <w:lang w:eastAsia="fr-FR"/>
        </w:rPr>
        <w:sectPr w:rsidR="000640D5" w:rsidSect="007A7912">
          <w:headerReference w:type="default" r:id="rId15"/>
          <w:footerReference w:type="default" r:id="rId16"/>
          <w:pgSz w:w="11906" w:h="16838"/>
          <w:pgMar w:top="1418" w:right="992" w:bottom="425" w:left="992" w:header="709" w:footer="283" w:gutter="0"/>
          <w:cols w:space="708"/>
          <w:docGrid w:linePitch="360"/>
        </w:sectPr>
      </w:pPr>
    </w:p>
    <w:p w14:paraId="72A3D3EC" w14:textId="2F5E39F6" w:rsidR="00AB6F96" w:rsidRPr="000640D5" w:rsidRDefault="00AB6F96" w:rsidP="00AB6F96">
      <w:pPr>
        <w:pStyle w:val="Sansinterligne"/>
        <w:jc w:val="both"/>
        <w:rPr>
          <w:rFonts w:ascii="Marianne" w:hAnsi="Marianne" w:cs="Times New Roman"/>
          <w:sz w:val="20"/>
          <w:szCs w:val="20"/>
          <w:lang w:eastAsia="fr-FR"/>
        </w:rPr>
      </w:pPr>
    </w:p>
    <w:p w14:paraId="27352076" w14:textId="77777777" w:rsidR="000640D5" w:rsidRPr="000640D5" w:rsidRDefault="000640D5" w:rsidP="000640D5">
      <w:pPr>
        <w:pStyle w:val="Sansinterligne"/>
        <w:rPr>
          <w:rFonts w:ascii="Marianne" w:hAnsi="Marianne"/>
          <w:b/>
          <w:bCs/>
          <w:color w:val="800080"/>
          <w:sz w:val="32"/>
          <w:szCs w:val="28"/>
        </w:rPr>
      </w:pPr>
      <w:r w:rsidRPr="000640D5">
        <w:rPr>
          <w:rFonts w:ascii="Marianne" w:hAnsi="Marianne"/>
          <w:b/>
          <w:bCs/>
          <w:color w:val="800080"/>
          <w:sz w:val="32"/>
          <w:szCs w:val="28"/>
        </w:rPr>
        <w:t>Formation renforcée à la sécurité : les travailleurs concernés</w:t>
      </w:r>
    </w:p>
    <w:p w14:paraId="0D0B940D" w14:textId="77777777" w:rsidR="00AB6F96" w:rsidRPr="007A7912" w:rsidRDefault="00AB6F96" w:rsidP="00AB6F96">
      <w:pPr>
        <w:pStyle w:val="Sansinterligne"/>
        <w:jc w:val="both"/>
        <w:rPr>
          <w:rFonts w:ascii="Marianne" w:hAnsi="Marianne" w:cs="Times New Roman"/>
          <w:b/>
          <w:bCs/>
          <w:lang w:eastAsia="fr-FR"/>
        </w:rPr>
      </w:pPr>
    </w:p>
    <w:p w14:paraId="646900E8" w14:textId="77777777" w:rsidR="00AB6F96" w:rsidRPr="000640D5" w:rsidRDefault="00AB6F96" w:rsidP="00AB6F96">
      <w:pPr>
        <w:pStyle w:val="Sansinterligne"/>
        <w:jc w:val="both"/>
        <w:rPr>
          <w:rFonts w:ascii="Marianne" w:hAnsi="Marianne" w:cs="Times New Roman"/>
          <w:sz w:val="20"/>
          <w:lang w:eastAsia="fr-FR"/>
        </w:rPr>
      </w:pPr>
      <w:r w:rsidRPr="000640D5">
        <w:rPr>
          <w:rFonts w:ascii="Marianne" w:hAnsi="Marianne" w:cs="Times New Roman"/>
          <w:sz w:val="20"/>
          <w:lang w:eastAsia="fr-FR"/>
        </w:rPr>
        <w:t>Tous les travailleurs n’ont pas à suivre une formation renforcée à la sécurité. A tout du moins, le code du travail ne l’impose que pour certains même s’il demeure conseillé de la faire suivre à tous les travailleurs amenés à exercer leur fonction dans l’entreprise.</w:t>
      </w:r>
    </w:p>
    <w:p w14:paraId="0E27B00A" w14:textId="77777777" w:rsidR="00AB6F96" w:rsidRPr="000640D5" w:rsidRDefault="00AB6F96" w:rsidP="00AB6F96">
      <w:pPr>
        <w:pStyle w:val="Sansinterligne"/>
        <w:jc w:val="both"/>
        <w:rPr>
          <w:rFonts w:ascii="Marianne" w:hAnsi="Marianne" w:cs="Times New Roman"/>
          <w:sz w:val="20"/>
          <w:lang w:eastAsia="fr-FR"/>
        </w:rPr>
      </w:pPr>
    </w:p>
    <w:p w14:paraId="30E47142" w14:textId="77777777" w:rsidR="00AB6F96" w:rsidRPr="00EC2193" w:rsidRDefault="00AB6F96" w:rsidP="00CD0DE7">
      <w:pPr>
        <w:pStyle w:val="Sansinterligne"/>
        <w:shd w:val="clear" w:color="auto" w:fill="D9E2F3" w:themeFill="accent5" w:themeFillTint="33"/>
        <w:spacing w:after="120"/>
        <w:jc w:val="both"/>
        <w:rPr>
          <w:rFonts w:ascii="Marianne" w:hAnsi="Marianne" w:cs="Times New Roman"/>
          <w:b/>
          <w:sz w:val="20"/>
          <w:lang w:eastAsia="fr-FR"/>
        </w:rPr>
      </w:pPr>
      <w:r w:rsidRPr="00EC2193">
        <w:rPr>
          <w:rFonts w:ascii="Marianne" w:hAnsi="Marianne" w:cs="Times New Roman"/>
          <w:b/>
          <w:sz w:val="20"/>
          <w:lang w:eastAsia="fr-FR"/>
        </w:rPr>
        <w:t>Sont concernés par l’obligation :</w:t>
      </w:r>
    </w:p>
    <w:p w14:paraId="27854457" w14:textId="77777777" w:rsidR="00AB6F96" w:rsidRPr="000640D5" w:rsidRDefault="00AB6F96" w:rsidP="00CD0DE7">
      <w:pPr>
        <w:pStyle w:val="Sansinterligne"/>
        <w:numPr>
          <w:ilvl w:val="0"/>
          <w:numId w:val="5"/>
        </w:numPr>
        <w:shd w:val="clear" w:color="auto" w:fill="D9E2F3" w:themeFill="accent5" w:themeFillTint="33"/>
        <w:ind w:left="0" w:firstLine="0"/>
        <w:jc w:val="both"/>
        <w:rPr>
          <w:rFonts w:ascii="Marianne" w:hAnsi="Marianne" w:cs="Times New Roman"/>
          <w:sz w:val="20"/>
          <w:lang w:eastAsia="fr-FR"/>
        </w:rPr>
      </w:pPr>
      <w:r w:rsidRPr="000640D5">
        <w:rPr>
          <w:rFonts w:ascii="Marianne" w:hAnsi="Marianne" w:cs="Times New Roman"/>
          <w:sz w:val="20"/>
          <w:lang w:eastAsia="fr-FR"/>
        </w:rPr>
        <w:t xml:space="preserve">les salariés employés en </w:t>
      </w:r>
      <w:hyperlink r:id="rId17" w:tgtFrame="_blank" w:history="1">
        <w:r w:rsidRPr="000640D5">
          <w:rPr>
            <w:rFonts w:ascii="Marianne" w:hAnsi="Marianne" w:cs="Times New Roman"/>
            <w:sz w:val="20"/>
            <w:lang w:eastAsia="fr-FR"/>
          </w:rPr>
          <w:t>CDD</w:t>
        </w:r>
      </w:hyperlink>
      <w:r w:rsidRPr="000640D5">
        <w:rPr>
          <w:rFonts w:ascii="Marianne" w:hAnsi="Marianne" w:cs="Times New Roman"/>
          <w:sz w:val="20"/>
          <w:lang w:eastAsia="fr-FR"/>
        </w:rPr>
        <w:t>, peu important leur durée ou leur motif</w:t>
      </w:r>
      <w:r w:rsidRPr="000640D5">
        <w:rPr>
          <w:rFonts w:ascii="Times New Roman" w:hAnsi="Times New Roman" w:cs="Times New Roman"/>
          <w:sz w:val="20"/>
          <w:lang w:eastAsia="fr-FR"/>
        </w:rPr>
        <w:t> </w:t>
      </w:r>
      <w:r w:rsidRPr="000640D5">
        <w:rPr>
          <w:rFonts w:ascii="Marianne" w:hAnsi="Marianne" w:cs="Times New Roman"/>
          <w:sz w:val="20"/>
          <w:lang w:eastAsia="fr-FR"/>
        </w:rPr>
        <w:t>;</w:t>
      </w:r>
    </w:p>
    <w:p w14:paraId="6D053E56" w14:textId="77777777" w:rsidR="00AB6F96" w:rsidRPr="000640D5" w:rsidRDefault="00AB6F96" w:rsidP="00CD0DE7">
      <w:pPr>
        <w:pStyle w:val="Sansinterligne"/>
        <w:numPr>
          <w:ilvl w:val="0"/>
          <w:numId w:val="5"/>
        </w:numPr>
        <w:shd w:val="clear" w:color="auto" w:fill="D9E2F3" w:themeFill="accent5" w:themeFillTint="33"/>
        <w:ind w:left="0" w:firstLine="0"/>
        <w:jc w:val="both"/>
        <w:rPr>
          <w:rFonts w:ascii="Marianne" w:hAnsi="Marianne" w:cs="Times New Roman"/>
          <w:sz w:val="20"/>
          <w:lang w:eastAsia="fr-FR"/>
        </w:rPr>
      </w:pPr>
      <w:proofErr w:type="gramStart"/>
      <w:r w:rsidRPr="000640D5">
        <w:rPr>
          <w:rFonts w:ascii="Marianne" w:hAnsi="Marianne" w:cs="Times New Roman"/>
          <w:sz w:val="20"/>
          <w:lang w:eastAsia="fr-FR"/>
        </w:rPr>
        <w:t>les</w:t>
      </w:r>
      <w:proofErr w:type="gramEnd"/>
      <w:r w:rsidRPr="000640D5">
        <w:rPr>
          <w:rFonts w:ascii="Marianne" w:hAnsi="Marianne" w:cs="Times New Roman"/>
          <w:sz w:val="20"/>
          <w:lang w:eastAsia="fr-FR"/>
        </w:rPr>
        <w:t xml:space="preserve"> stagiaires, peu important la durée ou la nature du stage</w:t>
      </w:r>
      <w:r w:rsidRPr="000640D5">
        <w:rPr>
          <w:rFonts w:ascii="Times New Roman" w:hAnsi="Times New Roman" w:cs="Times New Roman"/>
          <w:sz w:val="20"/>
          <w:lang w:eastAsia="fr-FR"/>
        </w:rPr>
        <w:t> </w:t>
      </w:r>
      <w:r w:rsidRPr="000640D5">
        <w:rPr>
          <w:rFonts w:ascii="Marianne" w:hAnsi="Marianne" w:cs="Times New Roman"/>
          <w:sz w:val="20"/>
          <w:lang w:eastAsia="fr-FR"/>
        </w:rPr>
        <w:t>;</w:t>
      </w:r>
    </w:p>
    <w:p w14:paraId="4249BBC1" w14:textId="77777777" w:rsidR="00AB6F96" w:rsidRPr="000640D5" w:rsidRDefault="00AB6F96" w:rsidP="00CD0DE7">
      <w:pPr>
        <w:pStyle w:val="Sansinterligne"/>
        <w:numPr>
          <w:ilvl w:val="0"/>
          <w:numId w:val="5"/>
        </w:numPr>
        <w:shd w:val="clear" w:color="auto" w:fill="D9E2F3" w:themeFill="accent5" w:themeFillTint="33"/>
        <w:ind w:left="0" w:firstLine="0"/>
        <w:jc w:val="both"/>
        <w:rPr>
          <w:rFonts w:ascii="Marianne" w:hAnsi="Marianne" w:cs="Times New Roman"/>
          <w:sz w:val="20"/>
          <w:lang w:eastAsia="fr-FR"/>
        </w:rPr>
      </w:pPr>
      <w:proofErr w:type="gramStart"/>
      <w:r w:rsidRPr="000640D5">
        <w:rPr>
          <w:rFonts w:ascii="Marianne" w:hAnsi="Marianne" w:cs="Times New Roman"/>
          <w:sz w:val="20"/>
          <w:lang w:eastAsia="fr-FR"/>
        </w:rPr>
        <w:t>les</w:t>
      </w:r>
      <w:proofErr w:type="gramEnd"/>
      <w:r w:rsidRPr="000640D5">
        <w:rPr>
          <w:rFonts w:ascii="Marianne" w:hAnsi="Marianne" w:cs="Times New Roman"/>
          <w:sz w:val="20"/>
          <w:lang w:eastAsia="fr-FR"/>
        </w:rPr>
        <w:t xml:space="preserve"> intérimaires, peu important la durée de la mission temporaire.</w:t>
      </w:r>
    </w:p>
    <w:p w14:paraId="60061E4C" w14:textId="77777777" w:rsidR="00AB6F96" w:rsidRPr="000640D5" w:rsidRDefault="00AB6F96" w:rsidP="00AB6F96">
      <w:pPr>
        <w:pStyle w:val="Sansinterligne"/>
        <w:jc w:val="both"/>
        <w:rPr>
          <w:rFonts w:ascii="Marianne" w:hAnsi="Marianne" w:cs="Times New Roman"/>
          <w:sz w:val="20"/>
          <w:lang w:eastAsia="fr-FR"/>
        </w:rPr>
      </w:pPr>
    </w:p>
    <w:p w14:paraId="73473AE5" w14:textId="77777777" w:rsidR="00AB6F96" w:rsidRPr="000640D5" w:rsidRDefault="00AB6F96" w:rsidP="00AB6F96">
      <w:pPr>
        <w:pStyle w:val="Sansinterligne"/>
        <w:jc w:val="both"/>
        <w:rPr>
          <w:rFonts w:ascii="Marianne" w:hAnsi="Marianne" w:cs="Times New Roman"/>
          <w:sz w:val="20"/>
          <w:lang w:eastAsia="fr-FR"/>
        </w:rPr>
      </w:pPr>
      <w:r w:rsidRPr="000640D5">
        <w:rPr>
          <w:rFonts w:ascii="Marianne" w:hAnsi="Marianne" w:cs="Times New Roman"/>
          <w:sz w:val="20"/>
          <w:lang w:eastAsia="fr-FR"/>
        </w:rPr>
        <w:t xml:space="preserve">Pour ces travailleurs, dès qu’il y a exercice d’un travail présentant des risques particuliers, une formation renforcée est obligatoire. </w:t>
      </w:r>
    </w:p>
    <w:p w14:paraId="1EFD5564" w14:textId="77777777" w:rsidR="00CD0DE7" w:rsidRDefault="00CD0DE7" w:rsidP="00AB6F96">
      <w:pPr>
        <w:pStyle w:val="Sansinterligne"/>
        <w:jc w:val="both"/>
        <w:rPr>
          <w:rFonts w:ascii="Marianne" w:hAnsi="Marianne" w:cs="Times New Roman"/>
          <w:sz w:val="20"/>
          <w:lang w:eastAsia="fr-FR"/>
        </w:rPr>
      </w:pPr>
    </w:p>
    <w:p w14:paraId="44EAFD9C" w14:textId="1328CAEB" w:rsidR="00AB6F96" w:rsidRPr="000640D5" w:rsidRDefault="00CD0DE7" w:rsidP="00AB6F96">
      <w:pPr>
        <w:pStyle w:val="Sansinterligne"/>
        <w:jc w:val="both"/>
        <w:rPr>
          <w:rFonts w:ascii="Marianne" w:hAnsi="Marianne" w:cs="Times New Roman"/>
          <w:sz w:val="20"/>
          <w:lang w:eastAsia="fr-FR"/>
        </w:rPr>
      </w:pPr>
      <w:r>
        <w:rPr>
          <w:rFonts w:ascii="Marianne" w:hAnsi="Marianne"/>
          <w:noProof/>
          <w:sz w:val="20"/>
          <w:lang w:eastAsia="fr-FR"/>
        </w:rPr>
        <w:drawing>
          <wp:anchor distT="0" distB="0" distL="114300" distR="114300" simplePos="0" relativeHeight="251658240" behindDoc="1" locked="0" layoutInCell="1" allowOverlap="1" wp14:anchorId="279DE6FB" wp14:editId="2E136ED3">
            <wp:simplePos x="0" y="0"/>
            <wp:positionH relativeFrom="margin">
              <wp:align>left</wp:align>
            </wp:positionH>
            <wp:positionV relativeFrom="paragraph">
              <wp:posOffset>180975</wp:posOffset>
            </wp:positionV>
            <wp:extent cx="572770" cy="817245"/>
            <wp:effectExtent l="0" t="0" r="0" b="1905"/>
            <wp:wrapTight wrapText="bothSides">
              <wp:wrapPolygon edited="0">
                <wp:start x="0" y="0"/>
                <wp:lineTo x="0" y="21147"/>
                <wp:lineTo x="20834" y="21147"/>
                <wp:lineTo x="20834" y="0"/>
                <wp:lineTo x="0" y="0"/>
              </wp:wrapPolygon>
            </wp:wrapTight>
            <wp:docPr id="2" name="Image 2" descr="C:\Users\catherine.braconnier\AppData\Local\Microsoft\Windows\INetCache\Content.MSO\19C92A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braconnier\AppData\Local\Microsoft\Windows\INetCache\Content.MSO\19C92A71.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77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59312" w14:textId="1713AF37" w:rsidR="00AB6F96" w:rsidRPr="00CD0DE7" w:rsidRDefault="00CD0DE7" w:rsidP="00AB6F96">
      <w:pPr>
        <w:pStyle w:val="Sansinterligne"/>
        <w:jc w:val="both"/>
        <w:rPr>
          <w:rFonts w:ascii="Marianne" w:hAnsi="Marianne" w:cs="Times New Roman"/>
          <w:i/>
          <w:color w:val="C45911" w:themeColor="accent2" w:themeShade="BF"/>
          <w:sz w:val="18"/>
          <w:lang w:eastAsia="fr-FR"/>
        </w:rPr>
      </w:pPr>
      <w:r w:rsidRPr="00CD0DE7">
        <w:rPr>
          <w:rFonts w:ascii="Marianne" w:hAnsi="Marianne" w:cs="Times New Roman"/>
          <w:i/>
          <w:color w:val="C45911" w:themeColor="accent2" w:themeShade="BF"/>
          <w:sz w:val="18"/>
          <w:lang w:eastAsia="fr-FR"/>
        </w:rPr>
        <w:t>L</w:t>
      </w:r>
      <w:r w:rsidR="00AB6F96" w:rsidRPr="00CD0DE7">
        <w:rPr>
          <w:rFonts w:ascii="Marianne" w:hAnsi="Marianne" w:cs="Times New Roman"/>
          <w:i/>
          <w:color w:val="C45911" w:themeColor="accent2" w:themeShade="BF"/>
          <w:sz w:val="18"/>
          <w:lang w:eastAsia="fr-FR"/>
        </w:rPr>
        <w:t>’absence de formation renforcée emporte la présomption de faute inexcusable de l’employeur pour tout accident d’un salarié en CDD ou d’un stagiaire concerné par un risque particulier. L’absence de formation renforcée emporte la présomption de faute inexcusable de l’entreprise utilisatrice pour tout accident de travail d’un intérimaire concerné par un risque particulier.</w:t>
      </w:r>
    </w:p>
    <w:p w14:paraId="4B94D5A5" w14:textId="77777777" w:rsidR="002C15F8" w:rsidRPr="00CD0DE7" w:rsidRDefault="002C15F8">
      <w:pPr>
        <w:rPr>
          <w:rFonts w:ascii="Marianne" w:hAnsi="Marianne"/>
          <w:i/>
          <w:color w:val="C45911" w:themeColor="accent2" w:themeShade="BF"/>
          <w:sz w:val="18"/>
        </w:rPr>
      </w:pPr>
    </w:p>
    <w:sectPr w:rsidR="002C15F8" w:rsidRPr="00CD0DE7" w:rsidSect="007A7912">
      <w:headerReference w:type="default" r:id="rId19"/>
      <w:pgSz w:w="11906" w:h="16838"/>
      <w:pgMar w:top="1418" w:right="992" w:bottom="425" w:left="992"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29F0" w14:textId="77777777" w:rsidR="007A7912" w:rsidRDefault="007A7912" w:rsidP="007A7912">
      <w:pPr>
        <w:spacing w:after="0" w:line="240" w:lineRule="auto"/>
      </w:pPr>
      <w:r>
        <w:separator/>
      </w:r>
    </w:p>
  </w:endnote>
  <w:endnote w:type="continuationSeparator" w:id="0">
    <w:p w14:paraId="5C8E052A" w14:textId="77777777" w:rsidR="007A7912" w:rsidRDefault="007A7912" w:rsidP="007A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Marianne ExtraBold">
    <w:panose1 w:val="02000000000000000000"/>
    <w:charset w:val="00"/>
    <w:family w:val="auto"/>
    <w:pitch w:val="variable"/>
    <w:sig w:usb0="0000000F" w:usb1="00000000" w:usb2="00000000" w:usb3="00000000" w:csb0="00000003"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033A" w14:textId="50C8ED9B" w:rsidR="007A7912" w:rsidRPr="007A7912" w:rsidRDefault="007A7912" w:rsidP="007A7912">
    <w:pPr>
      <w:tabs>
        <w:tab w:val="left" w:pos="2908"/>
        <w:tab w:val="left" w:pos="7938"/>
      </w:tabs>
      <w:ind w:left="-142"/>
      <w:rPr>
        <w:rFonts w:ascii="Marianne" w:hAnsi="Marianne"/>
        <w:b/>
        <w:sz w:val="16"/>
        <w:szCs w:val="18"/>
      </w:rPr>
    </w:pPr>
    <w:r w:rsidRPr="00825538">
      <w:rPr>
        <w:rFonts w:ascii="Marianne" w:hAnsi="Marianne"/>
        <w:b/>
        <w:noProof/>
        <w:sz w:val="18"/>
        <w:szCs w:val="18"/>
        <w:lang w:eastAsia="fr-FR"/>
      </w:rPr>
      <w:drawing>
        <wp:anchor distT="0" distB="0" distL="114300" distR="114300" simplePos="0" relativeHeight="251661312" behindDoc="1" locked="0" layoutInCell="1" allowOverlap="1" wp14:anchorId="0BF59136" wp14:editId="66D0710C">
          <wp:simplePos x="0" y="0"/>
          <wp:positionH relativeFrom="column">
            <wp:posOffset>5154930</wp:posOffset>
          </wp:positionH>
          <wp:positionV relativeFrom="paragraph">
            <wp:posOffset>-52070</wp:posOffset>
          </wp:positionV>
          <wp:extent cx="1162685" cy="359410"/>
          <wp:effectExtent l="0" t="0" r="0" b="2540"/>
          <wp:wrapThrough wrapText="bothSides">
            <wp:wrapPolygon edited="0">
              <wp:start x="0" y="0"/>
              <wp:lineTo x="0" y="20608"/>
              <wp:lineTo x="21234" y="20608"/>
              <wp:lineTo x="21234" y="0"/>
              <wp:lineTo x="0" y="0"/>
            </wp:wrapPolygon>
          </wp:wrapThrough>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ets_grand_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85" cy="359410"/>
                  </a:xfrm>
                  <a:prstGeom prst="rect">
                    <a:avLst/>
                  </a:prstGeom>
                </pic:spPr>
              </pic:pic>
            </a:graphicData>
          </a:graphic>
          <wp14:sizeRelH relativeFrom="margin">
            <wp14:pctWidth>0</wp14:pctWidth>
          </wp14:sizeRelH>
          <wp14:sizeRelV relativeFrom="margin">
            <wp14:pctHeight>0</wp14:pctHeight>
          </wp14:sizeRelV>
        </wp:anchor>
      </w:drawing>
    </w:r>
    <w:r w:rsidRPr="00825538">
      <w:rPr>
        <w:noProof/>
        <w:lang w:eastAsia="fr-FR"/>
      </w:rPr>
      <w:drawing>
        <wp:inline distT="0" distB="0" distL="0" distR="0" wp14:anchorId="658DCE8C" wp14:editId="0C39AE00">
          <wp:extent cx="3105150" cy="31432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0515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16C1" w14:textId="77777777" w:rsidR="007A7912" w:rsidRDefault="007A7912" w:rsidP="007A7912">
      <w:pPr>
        <w:spacing w:after="0" w:line="240" w:lineRule="auto"/>
      </w:pPr>
      <w:r>
        <w:separator/>
      </w:r>
    </w:p>
  </w:footnote>
  <w:footnote w:type="continuationSeparator" w:id="0">
    <w:p w14:paraId="0412053B" w14:textId="77777777" w:rsidR="007A7912" w:rsidRDefault="007A7912" w:rsidP="007A7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D882" w14:textId="1AA937BA" w:rsidR="007A7912" w:rsidRPr="00E63E5D" w:rsidRDefault="00272946" w:rsidP="00272946">
    <w:pPr>
      <w:pBdr>
        <w:left w:val="single" w:sz="4" w:space="4" w:color="auto"/>
      </w:pBdr>
      <w:tabs>
        <w:tab w:val="left" w:pos="2268"/>
        <w:tab w:val="right" w:pos="9072"/>
      </w:tabs>
      <w:spacing w:after="0" w:line="240" w:lineRule="auto"/>
      <w:ind w:left="2410"/>
      <w:jc w:val="both"/>
      <w:rPr>
        <w:rFonts w:ascii="Marianne" w:hAnsi="Marianne"/>
        <w:b/>
        <w:sz w:val="16"/>
      </w:rPr>
    </w:pPr>
    <w:r>
      <w:rPr>
        <w:noProof/>
        <w:lang w:eastAsia="fr-FR"/>
      </w:rPr>
      <w:drawing>
        <wp:anchor distT="0" distB="0" distL="114300" distR="114300" simplePos="0" relativeHeight="251662336" behindDoc="1" locked="0" layoutInCell="1" allowOverlap="1" wp14:anchorId="5649629C" wp14:editId="50505B9F">
          <wp:simplePos x="0" y="0"/>
          <wp:positionH relativeFrom="column">
            <wp:posOffset>-89535</wp:posOffset>
          </wp:positionH>
          <wp:positionV relativeFrom="paragraph">
            <wp:posOffset>-225945</wp:posOffset>
          </wp:positionV>
          <wp:extent cx="1514475" cy="1162050"/>
          <wp:effectExtent l="0" t="0" r="0" b="0"/>
          <wp:wrapNone/>
          <wp:docPr id="1" name="Image 2" descr="8BBB23D"/>
          <wp:cNvGraphicFramePr/>
          <a:graphic xmlns:a="http://schemas.openxmlformats.org/drawingml/2006/main">
            <a:graphicData uri="http://schemas.openxmlformats.org/drawingml/2006/picture">
              <pic:pic xmlns:pic="http://schemas.openxmlformats.org/drawingml/2006/picture">
                <pic:nvPicPr>
                  <pic:cNvPr id="1" name="Image 2" descr="8BBB23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912" w:rsidRPr="00E63E5D">
      <w:rPr>
        <w:rFonts w:ascii="Marianne" w:hAnsi="Marianne"/>
        <w:b/>
        <w:sz w:val="16"/>
      </w:rPr>
      <w:t>Direction régionale</w:t>
    </w:r>
  </w:p>
  <w:p w14:paraId="3091ECD6" w14:textId="77777777" w:rsidR="007A7912" w:rsidRPr="00E63E5D" w:rsidRDefault="007A7912" w:rsidP="00272946">
    <w:pPr>
      <w:pBdr>
        <w:left w:val="single" w:sz="4" w:space="4" w:color="auto"/>
      </w:pBdr>
      <w:tabs>
        <w:tab w:val="left" w:pos="2268"/>
        <w:tab w:val="right" w:pos="9072"/>
      </w:tabs>
      <w:spacing w:after="0" w:line="240" w:lineRule="auto"/>
      <w:ind w:left="2410"/>
      <w:jc w:val="both"/>
      <w:rPr>
        <w:rFonts w:ascii="Marianne" w:hAnsi="Marianne"/>
        <w:b/>
        <w:sz w:val="16"/>
      </w:rPr>
    </w:pPr>
    <w:proofErr w:type="gramStart"/>
    <w:r w:rsidRPr="00E63E5D">
      <w:rPr>
        <w:rFonts w:ascii="Marianne" w:hAnsi="Marianne"/>
        <w:b/>
        <w:sz w:val="16"/>
      </w:rPr>
      <w:t>de</w:t>
    </w:r>
    <w:proofErr w:type="gramEnd"/>
    <w:r w:rsidRPr="00E63E5D">
      <w:rPr>
        <w:rFonts w:ascii="Marianne" w:hAnsi="Marianne"/>
        <w:b/>
        <w:sz w:val="16"/>
      </w:rPr>
      <w:t xml:space="preserve"> l’économie, de l’emploi</w:t>
    </w:r>
  </w:p>
  <w:p w14:paraId="6937A016" w14:textId="77777777" w:rsidR="007A7912" w:rsidRPr="00E63E5D" w:rsidRDefault="007A7912" w:rsidP="00272946">
    <w:pPr>
      <w:pBdr>
        <w:left w:val="single" w:sz="4" w:space="4" w:color="auto"/>
      </w:pBdr>
      <w:tabs>
        <w:tab w:val="left" w:pos="2268"/>
        <w:tab w:val="right" w:pos="9072"/>
      </w:tabs>
      <w:spacing w:after="0" w:line="240" w:lineRule="auto"/>
      <w:ind w:left="2410"/>
      <w:jc w:val="both"/>
      <w:rPr>
        <w:rFonts w:ascii="Marianne" w:hAnsi="Marianne"/>
        <w:b/>
        <w:sz w:val="16"/>
      </w:rPr>
    </w:pPr>
    <w:proofErr w:type="gramStart"/>
    <w:r w:rsidRPr="00E63E5D">
      <w:rPr>
        <w:rFonts w:ascii="Marianne" w:hAnsi="Marianne"/>
        <w:b/>
        <w:sz w:val="16"/>
      </w:rPr>
      <w:t>du</w:t>
    </w:r>
    <w:proofErr w:type="gramEnd"/>
    <w:r w:rsidRPr="00E63E5D">
      <w:rPr>
        <w:rFonts w:ascii="Marianne" w:hAnsi="Marianne"/>
        <w:b/>
        <w:sz w:val="16"/>
      </w:rPr>
      <w:t xml:space="preserve"> travail et des solidarités</w:t>
    </w:r>
  </w:p>
  <w:p w14:paraId="16055DBC" w14:textId="77777777" w:rsidR="007A7912" w:rsidRPr="00E63E5D" w:rsidRDefault="007A7912" w:rsidP="00272946">
    <w:pPr>
      <w:pBdr>
        <w:left w:val="single" w:sz="4" w:space="4" w:color="auto"/>
      </w:pBdr>
      <w:tabs>
        <w:tab w:val="left" w:pos="2268"/>
        <w:tab w:val="right" w:pos="9072"/>
      </w:tabs>
      <w:spacing w:after="0" w:line="240" w:lineRule="auto"/>
      <w:ind w:left="2410"/>
      <w:jc w:val="both"/>
      <w:rPr>
        <w:rFonts w:ascii="Marianne" w:hAnsi="Marianne"/>
        <w:b/>
        <w:sz w:val="16"/>
      </w:rPr>
    </w:pPr>
    <w:proofErr w:type="gramStart"/>
    <w:r w:rsidRPr="00E63E5D">
      <w:rPr>
        <w:rFonts w:ascii="Marianne" w:hAnsi="Marianne"/>
        <w:b/>
        <w:sz w:val="16"/>
      </w:rPr>
      <w:t>du</w:t>
    </w:r>
    <w:proofErr w:type="gramEnd"/>
    <w:r w:rsidRPr="00E63E5D">
      <w:rPr>
        <w:rFonts w:ascii="Marianne" w:hAnsi="Marianne"/>
        <w:b/>
        <w:sz w:val="16"/>
      </w:rPr>
      <w:t xml:space="preserve"> Grand Est</w:t>
    </w:r>
  </w:p>
  <w:p w14:paraId="465DDFE0" w14:textId="77777777" w:rsidR="007A7912" w:rsidRDefault="007A79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1EB2" w14:textId="77777777" w:rsidR="00EC2193" w:rsidRPr="00EC2193" w:rsidRDefault="00EC2193" w:rsidP="00EC21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9DF"/>
    <w:multiLevelType w:val="multilevel"/>
    <w:tmpl w:val="28C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A6259"/>
    <w:multiLevelType w:val="multilevel"/>
    <w:tmpl w:val="5A7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858E6"/>
    <w:multiLevelType w:val="hybridMultilevel"/>
    <w:tmpl w:val="4BD0F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CF051B"/>
    <w:multiLevelType w:val="hybridMultilevel"/>
    <w:tmpl w:val="EA182168"/>
    <w:lvl w:ilvl="0" w:tplc="8EC0F0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FF42F5"/>
    <w:multiLevelType w:val="hybridMultilevel"/>
    <w:tmpl w:val="DFA0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96"/>
    <w:rsid w:val="00051794"/>
    <w:rsid w:val="000640D5"/>
    <w:rsid w:val="000A6ACB"/>
    <w:rsid w:val="00272946"/>
    <w:rsid w:val="002C15F8"/>
    <w:rsid w:val="0047018B"/>
    <w:rsid w:val="007A7912"/>
    <w:rsid w:val="00AB6F96"/>
    <w:rsid w:val="00B90ED7"/>
    <w:rsid w:val="00CD0DE7"/>
    <w:rsid w:val="00E12CE3"/>
    <w:rsid w:val="00EC2193"/>
    <w:rsid w:val="064FFEB6"/>
    <w:rsid w:val="25B1BAC8"/>
    <w:rsid w:val="2B352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3A3A7"/>
  <w15:chartTrackingRefBased/>
  <w15:docId w15:val="{24A6414B-DE1B-44EF-A46A-19D2C3C1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6F96"/>
    <w:pPr>
      <w:spacing w:after="0" w:line="240" w:lineRule="auto"/>
    </w:p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rsid w:val="000517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794"/>
    <w:rPr>
      <w:rFonts w:ascii="Segoe UI" w:hAnsi="Segoe UI" w:cs="Segoe UI"/>
      <w:sz w:val="18"/>
      <w:szCs w:val="18"/>
    </w:rPr>
  </w:style>
  <w:style w:type="paragraph" w:styleId="En-tte">
    <w:name w:val="header"/>
    <w:basedOn w:val="Normal"/>
    <w:link w:val="En-tteCar"/>
    <w:uiPriority w:val="99"/>
    <w:unhideWhenUsed/>
    <w:rsid w:val="007A7912"/>
    <w:pPr>
      <w:tabs>
        <w:tab w:val="center" w:pos="4536"/>
        <w:tab w:val="right" w:pos="9072"/>
      </w:tabs>
      <w:spacing w:after="0" w:line="240" w:lineRule="auto"/>
    </w:pPr>
  </w:style>
  <w:style w:type="character" w:customStyle="1" w:styleId="En-tteCar">
    <w:name w:val="En-tête Car"/>
    <w:basedOn w:val="Policepardfaut"/>
    <w:link w:val="En-tte"/>
    <w:uiPriority w:val="99"/>
    <w:rsid w:val="007A7912"/>
  </w:style>
  <w:style w:type="paragraph" w:styleId="Pieddepage">
    <w:name w:val="footer"/>
    <w:basedOn w:val="Normal"/>
    <w:link w:val="PieddepageCar"/>
    <w:uiPriority w:val="99"/>
    <w:unhideWhenUsed/>
    <w:rsid w:val="007A79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912"/>
  </w:style>
  <w:style w:type="table" w:styleId="Grilledutableau">
    <w:name w:val="Table Grid"/>
    <w:basedOn w:val="TableauNormal"/>
    <w:uiPriority w:val="39"/>
    <w:rsid w:val="00B90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3159">
      <w:bodyDiv w:val="1"/>
      <w:marLeft w:val="0"/>
      <w:marRight w:val="0"/>
      <w:marTop w:val="0"/>
      <w:marBottom w:val="0"/>
      <w:divBdr>
        <w:top w:val="none" w:sz="0" w:space="0" w:color="auto"/>
        <w:left w:val="none" w:sz="0" w:space="0" w:color="auto"/>
        <w:bottom w:val="none" w:sz="0" w:space="0" w:color="auto"/>
        <w:right w:val="none" w:sz="0" w:space="0" w:color="auto"/>
      </w:divBdr>
      <w:divsChild>
        <w:div w:id="698746310">
          <w:marLeft w:val="0"/>
          <w:marRight w:val="0"/>
          <w:marTop w:val="0"/>
          <w:marBottom w:val="0"/>
          <w:divBdr>
            <w:top w:val="none" w:sz="0" w:space="0" w:color="auto"/>
            <w:left w:val="none" w:sz="0" w:space="0" w:color="auto"/>
            <w:bottom w:val="none" w:sz="0" w:space="0" w:color="auto"/>
            <w:right w:val="none" w:sz="0" w:space="0" w:color="auto"/>
          </w:divBdr>
        </w:div>
        <w:div w:id="2086873575">
          <w:marLeft w:val="0"/>
          <w:marRight w:val="0"/>
          <w:marTop w:val="0"/>
          <w:marBottom w:val="0"/>
          <w:divBdr>
            <w:top w:val="none" w:sz="0" w:space="0" w:color="auto"/>
            <w:left w:val="none" w:sz="0" w:space="0" w:color="auto"/>
            <w:bottom w:val="none" w:sz="0" w:space="0" w:color="auto"/>
            <w:right w:val="none" w:sz="0" w:space="0" w:color="auto"/>
          </w:divBdr>
        </w:div>
      </w:divsChild>
    </w:div>
    <w:div w:id="19240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net.fr/documentation/Document?id=CODE_CTRA_ARTI_L4154-2&amp;FromId=Z2144"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ditions-tissot.fr/code-du-travail/code-du-travail-gratuit.aspx?codeSpace=MCG" TargetMode="External"/><Relationship Id="rId17" Type="http://schemas.openxmlformats.org/officeDocument/2006/relationships/hyperlink" Target="https://www.editions-tissot.fr/actualite/tag/cdd-bati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cidTexte=LEGITEXT000006072050&amp;idArticle=LEGIARTI000006904788&amp;dateTexte=&amp;categorieLien=ci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egifrance.gouv.fr/codes/article_lc/LEGIARTI000035653199"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itions-tissot.fr/actualite/sante-securite/thematique/maladie-professionnel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EF39D7783D664BABCB004399CAF5C5" ma:contentTypeVersion="3" ma:contentTypeDescription="Crée un document." ma:contentTypeScope="" ma:versionID="35d12c72d1b06c4aebe2ec3e921309ff">
  <xsd:schema xmlns:xsd="http://www.w3.org/2001/XMLSchema" xmlns:xs="http://www.w3.org/2001/XMLSchema" xmlns:p="http://schemas.microsoft.com/office/2006/metadata/properties" xmlns:ns2="ddd8ede4-c600-476d-a99d-dfac9d1b9eeb" targetNamespace="http://schemas.microsoft.com/office/2006/metadata/properties" ma:root="true" ma:fieldsID="4f9a90442465100a23806a07fc6cc5ac" ns2:_="">
    <xsd:import namespace="ddd8ede4-c600-476d-a99d-dfac9d1b9e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ede4-c600-476d-a99d-dfac9d1b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CCAF8-144E-4488-8CC4-BF339F47EFFA}">
  <ds:schemaRefs>
    <ds:schemaRef ds:uri="http://schemas.microsoft.com/sharepoint/v3/contenttype/forms"/>
  </ds:schemaRefs>
</ds:datastoreItem>
</file>

<file path=customXml/itemProps2.xml><?xml version="1.0" encoding="utf-8"?>
<ds:datastoreItem xmlns:ds="http://schemas.openxmlformats.org/officeDocument/2006/customXml" ds:itemID="{4A01319B-4DF6-4F3B-8669-8E0C00E2E7BD}">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ddd8ede4-c600-476d-a99d-dfac9d1b9eeb"/>
    <ds:schemaRef ds:uri="http://purl.org/dc/dcmitype/"/>
  </ds:schemaRefs>
</ds:datastoreItem>
</file>

<file path=customXml/itemProps3.xml><?xml version="1.0" encoding="utf-8"?>
<ds:datastoreItem xmlns:ds="http://schemas.openxmlformats.org/officeDocument/2006/customXml" ds:itemID="{306F697A-96F7-4802-AF1B-851BDEDE5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ede4-c600-476d-a99d-dfac9d1b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DINSIC67</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CLAUDEL Héloïse</dc:creator>
  <cp:keywords/>
  <dc:description/>
  <cp:lastModifiedBy>BRACONNIER, Catherine (DREETS-GE)</cp:lastModifiedBy>
  <cp:revision>9</cp:revision>
  <dcterms:created xsi:type="dcterms:W3CDTF">2024-01-18T10:38:00Z</dcterms:created>
  <dcterms:modified xsi:type="dcterms:W3CDTF">2024-01-24T08:12:00Z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0x010100DCEF39D7783D664BABCB004399CAF5C5</vt:lpwstr>
  </property>
</Properties>
</file>