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96" w:rsidRDefault="004B6D96">
      <w:pPr>
        <w:rPr>
          <w:i/>
        </w:rPr>
      </w:pPr>
    </w:p>
    <w:p w:rsidR="00D7268C" w:rsidRDefault="00D7268C" w:rsidP="00D7268C">
      <w:pPr>
        <w:spacing w:after="0"/>
        <w:rPr>
          <w:rFonts w:ascii="Marianne ExtraBold" w:eastAsia="Calibri" w:hAnsi="Marianne ExtraBold"/>
          <w:b/>
          <w:sz w:val="44"/>
          <w:szCs w:val="26"/>
        </w:rPr>
      </w:pPr>
      <w:r w:rsidRPr="00D57D5B">
        <w:rPr>
          <w:rFonts w:ascii="Marianne ExtraBold" w:eastAsia="Calibri" w:hAnsi="Marianne ExtraBold"/>
          <w:b/>
          <w:sz w:val="44"/>
          <w:szCs w:val="26"/>
        </w:rPr>
        <w:t xml:space="preserve">FICHE </w:t>
      </w:r>
      <w:r>
        <w:rPr>
          <w:rFonts w:ascii="Marianne ExtraBold" w:eastAsia="Calibri" w:hAnsi="Marianne ExtraBold"/>
          <w:b/>
          <w:sz w:val="44"/>
          <w:szCs w:val="26"/>
        </w:rPr>
        <w:t>11</w:t>
      </w:r>
    </w:p>
    <w:p w:rsidR="00D7268C" w:rsidRPr="003973CC" w:rsidRDefault="00D7268C" w:rsidP="00D7268C">
      <w:pPr>
        <w:spacing w:after="0" w:line="240" w:lineRule="auto"/>
        <w:rPr>
          <w:rFonts w:ascii="Marianne ExtraBold" w:eastAsia="Calibri" w:hAnsi="Marianne ExtraBold"/>
          <w:b/>
          <w:sz w:val="44"/>
          <w:szCs w:val="26"/>
        </w:rPr>
      </w:pPr>
      <w:r w:rsidRPr="003973CC">
        <w:rPr>
          <w:rFonts w:ascii="Marianne ExtraBold" w:eastAsia="Calibri" w:hAnsi="Marianne ExtraBold"/>
          <w:b/>
          <w:sz w:val="44"/>
          <w:szCs w:val="26"/>
        </w:rPr>
        <w:t>Rupture du contrat de professionnalisation</w:t>
      </w:r>
    </w:p>
    <w:p w:rsidR="00CF251B" w:rsidRDefault="00CF251B" w:rsidP="003973CC">
      <w:pPr>
        <w:spacing w:after="0"/>
        <w:rPr>
          <w:rFonts w:ascii="Marianne" w:hAnsi="Marianne"/>
          <w:b/>
          <w:bCs/>
          <w:color w:val="800080"/>
          <w:sz w:val="20"/>
          <w:szCs w:val="20"/>
        </w:rPr>
      </w:pPr>
    </w:p>
    <w:p w:rsidR="003973CC" w:rsidRPr="00CF251B" w:rsidRDefault="003973CC" w:rsidP="003973CC">
      <w:pPr>
        <w:spacing w:after="0"/>
        <w:rPr>
          <w:rFonts w:ascii="Marianne" w:hAnsi="Marianne"/>
          <w:b/>
          <w:bCs/>
          <w:color w:val="800080"/>
          <w:sz w:val="20"/>
          <w:szCs w:val="20"/>
        </w:rPr>
      </w:pPr>
    </w:p>
    <w:p w:rsidR="00CF251B" w:rsidRPr="003973CC" w:rsidRDefault="00CF251B" w:rsidP="00CF251B">
      <w:pPr>
        <w:rPr>
          <w:rFonts w:ascii="Marianne" w:hAnsi="Marianne"/>
          <w:b/>
          <w:bCs/>
          <w:color w:val="800080"/>
          <w:sz w:val="32"/>
          <w:szCs w:val="28"/>
        </w:rPr>
      </w:pPr>
      <w:r w:rsidRPr="003973CC">
        <w:rPr>
          <w:rFonts w:ascii="Marianne" w:hAnsi="Marianne"/>
          <w:b/>
          <w:bCs/>
          <w:color w:val="800080"/>
          <w:sz w:val="32"/>
          <w:szCs w:val="28"/>
        </w:rPr>
        <w:t>Contrat à durée déterminée</w:t>
      </w:r>
    </w:p>
    <w:tbl>
      <w:tblPr>
        <w:tblStyle w:val="Grilledutableau"/>
        <w:tblW w:w="0" w:type="auto"/>
        <w:tblBorders>
          <w:top w:val="single" w:sz="4" w:space="0" w:color="8EAADB" w:themeColor="accent5" w:themeTint="99"/>
          <w:left w:val="none" w:sz="0" w:space="0" w:color="auto"/>
          <w:bottom w:val="single" w:sz="4" w:space="0" w:color="8EAADB" w:themeColor="accent5" w:themeTint="99"/>
          <w:right w:val="none" w:sz="0" w:space="0" w:color="auto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2228"/>
        <w:gridCol w:w="4997"/>
        <w:gridCol w:w="2404"/>
      </w:tblGrid>
      <w:tr w:rsidR="00E32965" w:rsidRPr="003973CC" w:rsidTr="00EB5B88">
        <w:tc>
          <w:tcPr>
            <w:tcW w:w="2228" w:type="dxa"/>
          </w:tcPr>
          <w:p w:rsidR="00E32965" w:rsidRPr="003973CC" w:rsidRDefault="00E32965" w:rsidP="003973CC">
            <w:pPr>
              <w:spacing w:before="120" w:after="120"/>
              <w:outlineLvl w:val="3"/>
              <w:rPr>
                <w:rFonts w:ascii="Marianne" w:eastAsia="Times New Roman" w:hAnsi="Marianne" w:cstheme="minorHAnsi"/>
                <w:b/>
                <w:bCs/>
                <w:szCs w:val="24"/>
                <w:lang w:eastAsia="fr-FR"/>
              </w:rPr>
            </w:pPr>
            <w:r w:rsidRPr="003973CC">
              <w:rPr>
                <w:rFonts w:ascii="Marianne" w:eastAsia="Times New Roman" w:hAnsi="Marianne" w:cstheme="minorHAnsi"/>
                <w:b/>
                <w:bCs/>
                <w:szCs w:val="24"/>
                <w:lang w:eastAsia="fr-FR"/>
              </w:rPr>
              <w:t>Obtention de la qualification</w:t>
            </w:r>
          </w:p>
        </w:tc>
        <w:tc>
          <w:tcPr>
            <w:tcW w:w="4997" w:type="dxa"/>
          </w:tcPr>
          <w:p w:rsidR="00E32965" w:rsidRPr="003973CC" w:rsidRDefault="00E32965" w:rsidP="003973CC">
            <w:pPr>
              <w:autoSpaceDE w:val="0"/>
              <w:autoSpaceDN w:val="0"/>
              <w:adjustRightInd w:val="0"/>
              <w:spacing w:before="120" w:after="120"/>
              <w:rPr>
                <w:rFonts w:ascii="Marianne" w:eastAsia="Times New Roman" w:hAnsi="Marianne" w:cstheme="minorHAnsi"/>
                <w:bCs/>
                <w:sz w:val="20"/>
                <w:szCs w:val="24"/>
                <w:lang w:eastAsia="fr-FR"/>
              </w:rPr>
            </w:pPr>
            <w:r w:rsidRPr="003973CC">
              <w:rPr>
                <w:rFonts w:ascii="Marianne" w:eastAsia="Times New Roman" w:hAnsi="Marianne" w:cstheme="minorHAnsi"/>
                <w:bCs/>
                <w:sz w:val="20"/>
                <w:szCs w:val="24"/>
                <w:lang w:eastAsia="fr-FR"/>
              </w:rPr>
              <w:t>Le CDD prend fin suite à l’obtention de la qualification objet du contrat de professionnalisation, ou jusqu’à un à deux mois après la date prévue des épreuves pour les diplômes et titres inscrits au R</w:t>
            </w:r>
            <w:r w:rsidR="00AC05E5" w:rsidRPr="003973CC">
              <w:rPr>
                <w:rFonts w:ascii="Marianne" w:eastAsia="Times New Roman" w:hAnsi="Marianne" w:cstheme="minorHAnsi"/>
                <w:bCs/>
                <w:sz w:val="20"/>
                <w:szCs w:val="24"/>
                <w:lang w:eastAsia="fr-FR"/>
              </w:rPr>
              <w:t xml:space="preserve">épertoire </w:t>
            </w:r>
            <w:r w:rsidRPr="003973CC">
              <w:rPr>
                <w:rFonts w:ascii="Marianne" w:eastAsia="Times New Roman" w:hAnsi="Marianne" w:cstheme="minorHAnsi"/>
                <w:bCs/>
                <w:sz w:val="20"/>
                <w:szCs w:val="24"/>
                <w:lang w:eastAsia="fr-FR"/>
              </w:rPr>
              <w:t>N</w:t>
            </w:r>
            <w:r w:rsidR="00AC05E5" w:rsidRPr="003973CC">
              <w:rPr>
                <w:rFonts w:ascii="Marianne" w:eastAsia="Times New Roman" w:hAnsi="Marianne" w:cstheme="minorHAnsi"/>
                <w:bCs/>
                <w:sz w:val="20"/>
                <w:szCs w:val="24"/>
                <w:lang w:eastAsia="fr-FR"/>
              </w:rPr>
              <w:t xml:space="preserve">ational des </w:t>
            </w:r>
            <w:r w:rsidRPr="003973CC">
              <w:rPr>
                <w:rFonts w:ascii="Marianne" w:eastAsia="Times New Roman" w:hAnsi="Marianne" w:cstheme="minorHAnsi"/>
                <w:bCs/>
                <w:sz w:val="20"/>
                <w:szCs w:val="24"/>
                <w:lang w:eastAsia="fr-FR"/>
              </w:rPr>
              <w:t>C</w:t>
            </w:r>
            <w:r w:rsidR="00AC05E5" w:rsidRPr="003973CC">
              <w:rPr>
                <w:rFonts w:ascii="Marianne" w:eastAsia="Times New Roman" w:hAnsi="Marianne" w:cstheme="minorHAnsi"/>
                <w:bCs/>
                <w:sz w:val="20"/>
                <w:szCs w:val="24"/>
                <w:lang w:eastAsia="fr-FR"/>
              </w:rPr>
              <w:t xml:space="preserve">ertifications </w:t>
            </w:r>
            <w:r w:rsidRPr="003973CC">
              <w:rPr>
                <w:rFonts w:ascii="Marianne" w:eastAsia="Times New Roman" w:hAnsi="Marianne" w:cstheme="minorHAnsi"/>
                <w:bCs/>
                <w:sz w:val="20"/>
                <w:szCs w:val="24"/>
                <w:lang w:eastAsia="fr-FR"/>
              </w:rPr>
              <w:t>P</w:t>
            </w:r>
            <w:r w:rsidR="00AC05E5" w:rsidRPr="003973CC">
              <w:rPr>
                <w:rFonts w:ascii="Marianne" w:eastAsia="Times New Roman" w:hAnsi="Marianne" w:cstheme="minorHAnsi"/>
                <w:bCs/>
                <w:sz w:val="20"/>
                <w:szCs w:val="24"/>
                <w:lang w:eastAsia="fr-FR"/>
              </w:rPr>
              <w:t>rofessionnelles</w:t>
            </w:r>
            <w:r w:rsidRPr="003973CC">
              <w:rPr>
                <w:rFonts w:ascii="Marianne" w:eastAsia="Times New Roman" w:hAnsi="Marianne" w:cstheme="minorHAnsi"/>
                <w:bCs/>
                <w:sz w:val="20"/>
                <w:szCs w:val="24"/>
                <w:lang w:eastAsia="fr-FR"/>
              </w:rPr>
              <w:t>.</w:t>
            </w:r>
          </w:p>
        </w:tc>
        <w:tc>
          <w:tcPr>
            <w:tcW w:w="2404" w:type="dxa"/>
          </w:tcPr>
          <w:p w:rsidR="00E32965" w:rsidRPr="003973CC" w:rsidRDefault="005A2679" w:rsidP="003973CC">
            <w:pPr>
              <w:autoSpaceDE w:val="0"/>
              <w:autoSpaceDN w:val="0"/>
              <w:adjustRightInd w:val="0"/>
              <w:spacing w:before="120" w:after="120"/>
              <w:rPr>
                <w:rFonts w:ascii="Marianne" w:eastAsia="Times New Roman" w:hAnsi="Marianne" w:cstheme="minorHAnsi"/>
                <w:bCs/>
                <w:sz w:val="18"/>
                <w:szCs w:val="18"/>
                <w:lang w:eastAsia="fr-FR"/>
              </w:rPr>
            </w:pPr>
            <w:hyperlink r:id="rId10" w:history="1">
              <w:r w:rsidR="00E32965" w:rsidRPr="003973CC">
                <w:rPr>
                  <w:rStyle w:val="Lienhypertexte"/>
                  <w:rFonts w:ascii="Marianne" w:eastAsia="Times New Roman" w:hAnsi="Marianne" w:cstheme="minorHAnsi"/>
                  <w:bCs/>
                  <w:sz w:val="18"/>
                  <w:szCs w:val="18"/>
                  <w:lang w:eastAsia="fr-FR"/>
                </w:rPr>
                <w:t>Circ. DGEFP n°2012/15 du 19 juillet 2012, § 1.6.3</w:t>
              </w:r>
            </w:hyperlink>
          </w:p>
        </w:tc>
      </w:tr>
      <w:tr w:rsidR="00E32965" w:rsidRPr="003973CC" w:rsidTr="00EB5B88">
        <w:tc>
          <w:tcPr>
            <w:tcW w:w="2228" w:type="dxa"/>
          </w:tcPr>
          <w:p w:rsidR="00E32965" w:rsidRPr="003973CC" w:rsidRDefault="00E32965" w:rsidP="003973CC">
            <w:pPr>
              <w:spacing w:before="120" w:after="120"/>
              <w:outlineLvl w:val="3"/>
              <w:rPr>
                <w:rFonts w:ascii="Marianne" w:eastAsia="Times New Roman" w:hAnsi="Marianne" w:cstheme="minorHAnsi"/>
                <w:b/>
                <w:bCs/>
                <w:szCs w:val="24"/>
                <w:lang w:eastAsia="fr-FR"/>
              </w:rPr>
            </w:pPr>
            <w:r w:rsidRPr="003973CC">
              <w:rPr>
                <w:rFonts w:ascii="Marianne" w:eastAsia="Times New Roman" w:hAnsi="Marianne" w:cstheme="minorHAnsi"/>
                <w:b/>
                <w:bCs/>
                <w:szCs w:val="24"/>
                <w:lang w:eastAsia="fr-FR"/>
              </w:rPr>
              <w:t>Indemnités</w:t>
            </w:r>
          </w:p>
        </w:tc>
        <w:tc>
          <w:tcPr>
            <w:tcW w:w="4997" w:type="dxa"/>
          </w:tcPr>
          <w:p w:rsidR="00E32965" w:rsidRPr="003973CC" w:rsidRDefault="00E32965" w:rsidP="003973CC">
            <w:pPr>
              <w:autoSpaceDE w:val="0"/>
              <w:autoSpaceDN w:val="0"/>
              <w:adjustRightInd w:val="0"/>
              <w:spacing w:before="120" w:after="120"/>
              <w:rPr>
                <w:rFonts w:ascii="Marianne" w:eastAsia="Times New Roman" w:hAnsi="Marianne" w:cstheme="minorHAnsi"/>
                <w:bCs/>
                <w:sz w:val="20"/>
                <w:szCs w:val="24"/>
                <w:lang w:eastAsia="fr-FR"/>
              </w:rPr>
            </w:pPr>
            <w:r w:rsidRPr="003973CC">
              <w:rPr>
                <w:rFonts w:ascii="Marianne" w:eastAsia="Times New Roman" w:hAnsi="Marianne" w:cstheme="minorHAnsi"/>
                <w:bCs/>
                <w:sz w:val="20"/>
                <w:szCs w:val="24"/>
                <w:lang w:eastAsia="fr-FR"/>
              </w:rPr>
              <w:t>Pas d’indemnité de fin de contrat pour les contrat pro en CDD</w:t>
            </w:r>
          </w:p>
        </w:tc>
        <w:tc>
          <w:tcPr>
            <w:tcW w:w="2404" w:type="dxa"/>
          </w:tcPr>
          <w:p w:rsidR="00E32965" w:rsidRPr="003973CC" w:rsidRDefault="005A2679" w:rsidP="003973CC">
            <w:pPr>
              <w:autoSpaceDE w:val="0"/>
              <w:autoSpaceDN w:val="0"/>
              <w:adjustRightInd w:val="0"/>
              <w:spacing w:before="120" w:after="120"/>
              <w:rPr>
                <w:rFonts w:ascii="Marianne" w:eastAsia="Times New Roman" w:hAnsi="Marianne" w:cstheme="minorHAnsi"/>
                <w:bCs/>
                <w:sz w:val="18"/>
                <w:szCs w:val="18"/>
                <w:lang w:eastAsia="fr-FR"/>
              </w:rPr>
            </w:pPr>
            <w:hyperlink r:id="rId11" w:history="1">
              <w:r w:rsidR="00E32965" w:rsidRPr="003973CC">
                <w:rPr>
                  <w:rStyle w:val="Lienhypertexte"/>
                  <w:rFonts w:ascii="Marianne" w:eastAsia="Times New Roman" w:hAnsi="Marianne" w:cstheme="minorHAnsi"/>
                  <w:bCs/>
                  <w:sz w:val="18"/>
                  <w:szCs w:val="18"/>
                  <w:lang w:eastAsia="fr-FR"/>
                </w:rPr>
                <w:t>Article L.1243-10 CT</w:t>
              </w:r>
            </w:hyperlink>
          </w:p>
          <w:p w:rsidR="00E32965" w:rsidRPr="003973CC" w:rsidRDefault="005A2679" w:rsidP="003973CC">
            <w:pPr>
              <w:autoSpaceDE w:val="0"/>
              <w:autoSpaceDN w:val="0"/>
              <w:adjustRightInd w:val="0"/>
              <w:spacing w:before="120" w:after="120"/>
              <w:rPr>
                <w:rFonts w:ascii="Marianne" w:eastAsia="Times New Roman" w:hAnsi="Marianne" w:cstheme="minorHAnsi"/>
                <w:bCs/>
                <w:sz w:val="18"/>
                <w:szCs w:val="18"/>
                <w:lang w:eastAsia="fr-FR"/>
              </w:rPr>
            </w:pPr>
            <w:hyperlink r:id="rId12" w:history="1">
              <w:r w:rsidR="00E32965" w:rsidRPr="003973CC">
                <w:rPr>
                  <w:rStyle w:val="Lienhypertexte"/>
                  <w:rFonts w:ascii="Marianne" w:eastAsia="Times New Roman" w:hAnsi="Marianne" w:cstheme="minorHAnsi"/>
                  <w:bCs/>
                  <w:sz w:val="18"/>
                  <w:szCs w:val="18"/>
                  <w:lang w:eastAsia="fr-FR"/>
                </w:rPr>
                <w:t>Circ. DGEFP n°2012/15 du 19 juillet 2012, § 1.9.4.2</w:t>
              </w:r>
            </w:hyperlink>
          </w:p>
        </w:tc>
      </w:tr>
    </w:tbl>
    <w:p w:rsidR="003973CC" w:rsidRDefault="003973CC"/>
    <w:p w:rsidR="003973CC" w:rsidRPr="003973CC" w:rsidRDefault="003973CC" w:rsidP="003973CC">
      <w:pPr>
        <w:spacing w:before="100" w:beforeAutospacing="1"/>
        <w:outlineLvl w:val="3"/>
        <w:rPr>
          <w:rFonts w:ascii="Marianne" w:eastAsia="Times New Roman" w:hAnsi="Marianne" w:cstheme="minorHAnsi"/>
          <w:b/>
          <w:bCs/>
          <w:sz w:val="28"/>
          <w:szCs w:val="28"/>
          <w:lang w:eastAsia="fr-FR"/>
        </w:rPr>
      </w:pPr>
      <w:r w:rsidRPr="003973CC">
        <w:rPr>
          <w:rFonts w:ascii="Marianne" w:hAnsi="Marianne"/>
          <w:b/>
          <w:bCs/>
          <w:color w:val="800080"/>
          <w:sz w:val="32"/>
          <w:szCs w:val="28"/>
        </w:rPr>
        <w:t xml:space="preserve">Contrat à durée indéterminée </w:t>
      </w:r>
    </w:p>
    <w:tbl>
      <w:tblPr>
        <w:tblStyle w:val="Grilledutableau"/>
        <w:tblW w:w="0" w:type="auto"/>
        <w:tblBorders>
          <w:top w:val="single" w:sz="4" w:space="0" w:color="8EAADB" w:themeColor="accent5" w:themeTint="99"/>
          <w:left w:val="none" w:sz="0" w:space="0" w:color="auto"/>
          <w:bottom w:val="single" w:sz="4" w:space="0" w:color="8EAADB" w:themeColor="accent5" w:themeTint="99"/>
          <w:right w:val="none" w:sz="0" w:space="0" w:color="auto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2228"/>
        <w:gridCol w:w="4997"/>
        <w:gridCol w:w="2404"/>
      </w:tblGrid>
      <w:tr w:rsidR="00E32965" w:rsidRPr="003973CC" w:rsidTr="00EB5B88">
        <w:tc>
          <w:tcPr>
            <w:tcW w:w="2228" w:type="dxa"/>
          </w:tcPr>
          <w:p w:rsidR="00E32965" w:rsidRPr="003973CC" w:rsidRDefault="00E32965" w:rsidP="003973CC">
            <w:pPr>
              <w:spacing w:before="120" w:after="120"/>
              <w:outlineLvl w:val="3"/>
              <w:rPr>
                <w:rFonts w:ascii="Marianne" w:eastAsia="Times New Roman" w:hAnsi="Marianne" w:cstheme="minorHAnsi"/>
                <w:b/>
                <w:bCs/>
                <w:sz w:val="24"/>
                <w:szCs w:val="24"/>
                <w:lang w:eastAsia="fr-FR"/>
              </w:rPr>
            </w:pPr>
            <w:r w:rsidRPr="003973CC">
              <w:rPr>
                <w:rFonts w:ascii="Marianne" w:eastAsia="Times New Roman" w:hAnsi="Marianne" w:cstheme="minorHAnsi"/>
                <w:b/>
                <w:bCs/>
                <w:szCs w:val="24"/>
                <w:lang w:eastAsia="fr-FR"/>
              </w:rPr>
              <w:t>Obtention de la qualification</w:t>
            </w:r>
          </w:p>
        </w:tc>
        <w:tc>
          <w:tcPr>
            <w:tcW w:w="4997" w:type="dxa"/>
          </w:tcPr>
          <w:p w:rsidR="00E32965" w:rsidRPr="003973CC" w:rsidRDefault="00E32965" w:rsidP="003973CC">
            <w:pPr>
              <w:spacing w:before="120" w:after="120"/>
              <w:outlineLvl w:val="3"/>
              <w:rPr>
                <w:rFonts w:ascii="Marianne" w:eastAsia="Times New Roman" w:hAnsi="Marianne" w:cstheme="minorHAnsi"/>
                <w:bCs/>
                <w:sz w:val="24"/>
                <w:szCs w:val="24"/>
                <w:lang w:eastAsia="fr-FR"/>
              </w:rPr>
            </w:pPr>
            <w:r w:rsidRPr="003973CC">
              <w:rPr>
                <w:rFonts w:ascii="Marianne" w:eastAsia="Times New Roman" w:hAnsi="Marianne" w:cstheme="minorHAnsi"/>
                <w:bCs/>
                <w:sz w:val="20"/>
                <w:szCs w:val="24"/>
                <w:lang w:eastAsia="fr-FR"/>
              </w:rPr>
              <w:t>L’obtention de la qualification ne met pas fin au CDI, qui se poursuit comme un CDI classique</w:t>
            </w:r>
          </w:p>
        </w:tc>
        <w:tc>
          <w:tcPr>
            <w:tcW w:w="2404" w:type="dxa"/>
          </w:tcPr>
          <w:p w:rsidR="00E32965" w:rsidRPr="003973CC" w:rsidRDefault="005A2679" w:rsidP="003973CC">
            <w:pPr>
              <w:spacing w:before="120" w:after="120"/>
              <w:outlineLvl w:val="3"/>
              <w:rPr>
                <w:rFonts w:ascii="Marianne" w:eastAsia="Times New Roman" w:hAnsi="Marianne" w:cstheme="minorHAnsi"/>
                <w:bCs/>
                <w:sz w:val="18"/>
                <w:szCs w:val="18"/>
                <w:lang w:eastAsia="fr-FR"/>
              </w:rPr>
            </w:pPr>
            <w:hyperlink r:id="rId13" w:history="1">
              <w:r w:rsidR="00E32965" w:rsidRPr="003973CC">
                <w:rPr>
                  <w:rStyle w:val="Lienhypertexte"/>
                  <w:rFonts w:ascii="Marianne" w:eastAsia="Times New Roman" w:hAnsi="Marianne" w:cstheme="minorHAnsi"/>
                  <w:bCs/>
                  <w:sz w:val="18"/>
                  <w:szCs w:val="18"/>
                  <w:lang w:eastAsia="fr-FR"/>
                </w:rPr>
                <w:t>Article L.1231-1 CT</w:t>
              </w:r>
            </w:hyperlink>
          </w:p>
        </w:tc>
      </w:tr>
    </w:tbl>
    <w:p w:rsidR="005739EC" w:rsidRPr="003973CC" w:rsidRDefault="005739EC" w:rsidP="003973CC">
      <w:pPr>
        <w:spacing w:before="100" w:beforeAutospacing="1" w:after="100" w:afterAutospacing="1" w:line="240" w:lineRule="auto"/>
        <w:rPr>
          <w:rFonts w:ascii="Marianne" w:eastAsia="Times New Roman" w:hAnsi="Marianne" w:cstheme="minorHAnsi"/>
          <w:b/>
          <w:sz w:val="28"/>
          <w:szCs w:val="28"/>
          <w:lang w:eastAsia="fr-FR"/>
        </w:rPr>
      </w:pPr>
    </w:p>
    <w:p w:rsidR="00CF251B" w:rsidRPr="003973CC" w:rsidRDefault="00CF251B" w:rsidP="003973CC">
      <w:pPr>
        <w:spacing w:before="100" w:beforeAutospacing="1" w:after="120" w:line="240" w:lineRule="auto"/>
        <w:rPr>
          <w:rFonts w:ascii="Marianne" w:hAnsi="Marianne"/>
          <w:b/>
          <w:color w:val="800080"/>
          <w:sz w:val="32"/>
          <w:szCs w:val="28"/>
        </w:rPr>
      </w:pPr>
      <w:r w:rsidRPr="003973CC">
        <w:rPr>
          <w:rFonts w:ascii="Marianne" w:hAnsi="Marianne"/>
          <w:b/>
          <w:color w:val="800080"/>
          <w:sz w:val="32"/>
          <w:szCs w:val="28"/>
        </w:rPr>
        <w:t>Formalités</w:t>
      </w:r>
    </w:p>
    <w:p w:rsidR="00E32965" w:rsidRPr="003973CC" w:rsidRDefault="005739EC" w:rsidP="003973CC">
      <w:pPr>
        <w:spacing w:after="100" w:afterAutospacing="1" w:line="240" w:lineRule="auto"/>
        <w:rPr>
          <w:rFonts w:ascii="Marianne" w:eastAsia="Times New Roman" w:hAnsi="Marianne" w:cstheme="minorHAnsi"/>
          <w:sz w:val="20"/>
          <w:szCs w:val="28"/>
          <w:lang w:eastAsia="fr-FR"/>
        </w:rPr>
      </w:pPr>
      <w:r w:rsidRPr="003973CC">
        <w:rPr>
          <w:rFonts w:ascii="Marianne" w:eastAsia="Times New Roman" w:hAnsi="Marianne" w:cstheme="minorHAnsi"/>
          <w:sz w:val="20"/>
          <w:szCs w:val="28"/>
          <w:lang w:eastAsia="fr-FR"/>
        </w:rPr>
        <w:t>En cas de rupture du contrat avant le terme, l’employeur doit le signaler à la DREETS, à l’OPCO et à l’URSSAF dans les 30 jours qui suivent.</w:t>
      </w:r>
    </w:p>
    <w:p w:rsidR="005739EC" w:rsidRPr="003973CC" w:rsidRDefault="005739EC" w:rsidP="007D0D87">
      <w:pPr>
        <w:spacing w:before="100" w:beforeAutospacing="1" w:after="100" w:afterAutospacing="1" w:line="240" w:lineRule="auto"/>
        <w:rPr>
          <w:rStyle w:val="Lienhypertexte"/>
          <w:rFonts w:ascii="Marianne" w:eastAsia="Times New Roman" w:hAnsi="Marianne" w:cstheme="minorHAnsi"/>
          <w:sz w:val="18"/>
          <w:szCs w:val="18"/>
          <w:lang w:eastAsia="fr-FR"/>
        </w:rPr>
      </w:pPr>
      <w:r w:rsidRPr="003973CC">
        <w:rPr>
          <w:rFonts w:ascii="Marianne" w:eastAsia="Times New Roman" w:hAnsi="Marianne" w:cstheme="minorHAnsi"/>
          <w:sz w:val="20"/>
          <w:szCs w:val="28"/>
          <w:lang w:eastAsia="fr-FR"/>
        </w:rPr>
        <w:t xml:space="preserve">Le signalement </w:t>
      </w:r>
      <w:r w:rsidR="00DA7F2D" w:rsidRPr="003973CC">
        <w:rPr>
          <w:rFonts w:ascii="Marianne" w:eastAsia="Times New Roman" w:hAnsi="Marianne" w:cstheme="minorHAnsi"/>
          <w:sz w:val="20"/>
          <w:szCs w:val="28"/>
          <w:lang w:eastAsia="fr-FR"/>
        </w:rPr>
        <w:t xml:space="preserve">à la DREETS et à l’OPCO </w:t>
      </w:r>
      <w:r w:rsidRPr="003973CC">
        <w:rPr>
          <w:rFonts w:ascii="Marianne" w:eastAsia="Times New Roman" w:hAnsi="Marianne" w:cstheme="minorHAnsi"/>
          <w:sz w:val="20"/>
          <w:szCs w:val="28"/>
          <w:lang w:eastAsia="fr-FR"/>
        </w:rPr>
        <w:t>s</w:t>
      </w:r>
      <w:r w:rsidR="00DA7F2D" w:rsidRPr="003973CC">
        <w:rPr>
          <w:rFonts w:ascii="Marianne" w:eastAsia="Times New Roman" w:hAnsi="Marianne" w:cstheme="minorHAnsi"/>
          <w:sz w:val="20"/>
          <w:szCs w:val="28"/>
          <w:lang w:eastAsia="fr-FR"/>
        </w:rPr>
        <w:t xml:space="preserve">e fait via le formulaire sur le site : </w:t>
      </w:r>
      <w:hyperlink r:id="rId14" w:history="1">
        <w:r w:rsidR="00DA7F2D" w:rsidRPr="003973CC">
          <w:rPr>
            <w:rStyle w:val="Lienhypertexte"/>
            <w:rFonts w:ascii="Marianne" w:eastAsia="Times New Roman" w:hAnsi="Marianne" w:cstheme="minorHAnsi"/>
            <w:sz w:val="18"/>
            <w:szCs w:val="18"/>
            <w:lang w:eastAsia="fr-FR"/>
          </w:rPr>
          <w:t>https://www.alternance.emploi.gouv.fr/</w:t>
        </w:r>
      </w:hyperlink>
    </w:p>
    <w:p w:rsidR="00E32965" w:rsidRPr="003973CC" w:rsidRDefault="005A2679" w:rsidP="005A2679">
      <w:pPr>
        <w:spacing w:after="100" w:afterAutospacing="1" w:line="240" w:lineRule="auto"/>
        <w:rPr>
          <w:rFonts w:ascii="Marianne" w:eastAsia="Times New Roman" w:hAnsi="Marianne" w:cstheme="minorHAnsi"/>
          <w:i/>
          <w:sz w:val="18"/>
          <w:szCs w:val="18"/>
          <w:lang w:eastAsia="fr-FR"/>
        </w:rPr>
      </w:pPr>
      <w:hyperlink r:id="rId15" w:history="1">
        <w:r w:rsidR="00E32965" w:rsidRPr="003973CC">
          <w:rPr>
            <w:rStyle w:val="Lienhypertexte"/>
            <w:rFonts w:ascii="Marianne" w:eastAsia="Times New Roman" w:hAnsi="Marianne" w:cstheme="minorHAnsi"/>
            <w:i/>
            <w:sz w:val="18"/>
            <w:szCs w:val="18"/>
            <w:lang w:eastAsia="fr-FR"/>
          </w:rPr>
          <w:t>Article D.6325-5 CT</w:t>
        </w:r>
      </w:hyperlink>
    </w:p>
    <w:p w:rsidR="003973CC" w:rsidRPr="003973CC" w:rsidRDefault="00DA7F2D" w:rsidP="00EB5B88">
      <w:pPr>
        <w:spacing w:before="100" w:beforeAutospacing="1" w:after="0" w:line="240" w:lineRule="auto"/>
        <w:rPr>
          <w:rFonts w:ascii="Marianne" w:eastAsia="Times New Roman" w:hAnsi="Marianne" w:cstheme="minorHAnsi"/>
          <w:sz w:val="20"/>
          <w:szCs w:val="28"/>
          <w:lang w:eastAsia="fr-FR"/>
        </w:rPr>
      </w:pPr>
      <w:r w:rsidRPr="003973CC">
        <w:rPr>
          <w:rFonts w:ascii="Marianne" w:eastAsia="Times New Roman" w:hAnsi="Marianne" w:cstheme="minorHAnsi"/>
          <w:b/>
          <w:sz w:val="20"/>
          <w:szCs w:val="28"/>
          <w:u w:val="single"/>
          <w:lang w:eastAsia="fr-FR"/>
        </w:rPr>
        <w:t>NB</w:t>
      </w:r>
      <w:r w:rsidRPr="003973CC">
        <w:rPr>
          <w:rFonts w:ascii="Marianne" w:eastAsia="Times New Roman" w:hAnsi="Marianne" w:cstheme="minorHAnsi"/>
          <w:sz w:val="20"/>
          <w:szCs w:val="28"/>
          <w:lang w:eastAsia="fr-FR"/>
        </w:rPr>
        <w:t> : l’employeur ne peut pas demander au titulaire du contrat le remboursement des dépenses de formation.</w:t>
      </w:r>
      <w:r w:rsidR="00E32965" w:rsidRPr="003973CC">
        <w:rPr>
          <w:rFonts w:ascii="Marianne" w:eastAsia="Times New Roman" w:hAnsi="Marianne" w:cstheme="minorHAnsi"/>
          <w:sz w:val="20"/>
          <w:szCs w:val="28"/>
          <w:lang w:eastAsia="fr-FR"/>
        </w:rPr>
        <w:t xml:space="preserve"> </w:t>
      </w:r>
    </w:p>
    <w:p w:rsidR="003973CC" w:rsidRPr="003973CC" w:rsidRDefault="005A2679" w:rsidP="00EB5B88">
      <w:pPr>
        <w:spacing w:after="100" w:afterAutospacing="1" w:line="240" w:lineRule="auto"/>
        <w:rPr>
          <w:rFonts w:ascii="Marianne" w:eastAsia="Times New Roman" w:hAnsi="Marianne" w:cstheme="minorHAnsi"/>
          <w:sz w:val="18"/>
          <w:szCs w:val="28"/>
          <w:lang w:eastAsia="fr-FR"/>
        </w:rPr>
      </w:pPr>
      <w:hyperlink r:id="rId16" w:history="1">
        <w:r w:rsidR="003973CC" w:rsidRPr="003973CC">
          <w:rPr>
            <w:rStyle w:val="Lienhypertexte"/>
            <w:rFonts w:ascii="Marianne" w:eastAsia="Times New Roman" w:hAnsi="Marianne" w:cstheme="minorHAnsi"/>
            <w:i/>
            <w:sz w:val="18"/>
            <w:szCs w:val="28"/>
            <w:lang w:eastAsia="fr-FR"/>
          </w:rPr>
          <w:t>Article L.6325-15 CT</w:t>
        </w:r>
      </w:hyperlink>
    </w:p>
    <w:p w:rsidR="003973CC" w:rsidRDefault="003973CC" w:rsidP="003973CC">
      <w:pPr>
        <w:spacing w:before="100" w:beforeAutospacing="1" w:after="100" w:afterAutospacing="1" w:line="240" w:lineRule="auto"/>
        <w:rPr>
          <w:rFonts w:ascii="Marianne" w:eastAsia="Times New Roman" w:hAnsi="Marianne" w:cstheme="minorHAnsi"/>
          <w:sz w:val="24"/>
          <w:szCs w:val="28"/>
          <w:lang w:eastAsia="fr-FR"/>
        </w:rPr>
      </w:pPr>
    </w:p>
    <w:p w:rsidR="00EB5B88" w:rsidRPr="003973CC" w:rsidRDefault="00EB5B88" w:rsidP="003973CC">
      <w:pPr>
        <w:spacing w:before="100" w:beforeAutospacing="1" w:after="100" w:afterAutospacing="1" w:line="240" w:lineRule="auto"/>
        <w:rPr>
          <w:rFonts w:ascii="Marianne" w:eastAsia="Times New Roman" w:hAnsi="Marianne" w:cstheme="minorHAnsi"/>
          <w:sz w:val="24"/>
          <w:szCs w:val="28"/>
          <w:lang w:eastAsia="fr-FR"/>
        </w:rPr>
        <w:sectPr w:rsidR="00EB5B88" w:rsidRPr="003973CC" w:rsidSect="00D7268C">
          <w:headerReference w:type="default" r:id="rId17"/>
          <w:footerReference w:type="default" r:id="rId18"/>
          <w:pgSz w:w="11906" w:h="16838"/>
          <w:pgMar w:top="1418" w:right="992" w:bottom="425" w:left="992" w:header="709" w:footer="284" w:gutter="0"/>
          <w:cols w:space="708"/>
          <w:docGrid w:linePitch="360"/>
        </w:sectPr>
      </w:pPr>
    </w:p>
    <w:p w:rsidR="00F01D61" w:rsidRPr="003973CC" w:rsidRDefault="00F01D61" w:rsidP="003973CC">
      <w:pPr>
        <w:spacing w:before="100" w:beforeAutospacing="1" w:after="100" w:afterAutospacing="1" w:line="240" w:lineRule="auto"/>
        <w:rPr>
          <w:rFonts w:ascii="Marianne" w:eastAsia="Times New Roman" w:hAnsi="Marianne" w:cstheme="minorHAnsi"/>
          <w:sz w:val="24"/>
          <w:szCs w:val="28"/>
          <w:lang w:eastAsia="fr-FR"/>
        </w:rPr>
      </w:pPr>
    </w:p>
    <w:p w:rsidR="00CF251B" w:rsidRPr="003973CC" w:rsidRDefault="00CF251B" w:rsidP="00CF251B">
      <w:pPr>
        <w:rPr>
          <w:rFonts w:ascii="Marianne" w:hAnsi="Marianne"/>
          <w:b/>
          <w:color w:val="800080"/>
          <w:sz w:val="32"/>
          <w:szCs w:val="28"/>
        </w:rPr>
      </w:pPr>
      <w:r w:rsidRPr="003973CC">
        <w:rPr>
          <w:rFonts w:ascii="Marianne" w:hAnsi="Marianne"/>
          <w:b/>
          <w:color w:val="800080"/>
          <w:sz w:val="32"/>
          <w:szCs w:val="28"/>
        </w:rPr>
        <w:t>Poursuite de la formation après la rupture anticipée du contrat</w:t>
      </w:r>
    </w:p>
    <w:p w:rsidR="009030C3" w:rsidRPr="003973CC" w:rsidRDefault="009C3808" w:rsidP="003973CC">
      <w:pPr>
        <w:spacing w:before="100" w:beforeAutospacing="1" w:after="100" w:afterAutospacing="1" w:line="240" w:lineRule="auto"/>
        <w:jc w:val="both"/>
        <w:rPr>
          <w:rFonts w:ascii="Marianne" w:hAnsi="Marianne"/>
          <w:sz w:val="20"/>
          <w:szCs w:val="24"/>
        </w:rPr>
      </w:pPr>
      <w:r w:rsidRPr="003973CC">
        <w:rPr>
          <w:rFonts w:ascii="Marianne" w:hAnsi="Marianne"/>
          <w:sz w:val="20"/>
          <w:szCs w:val="24"/>
        </w:rPr>
        <w:t>Il est possible</w:t>
      </w:r>
      <w:r w:rsidR="009030C3" w:rsidRPr="003973CC">
        <w:rPr>
          <w:rFonts w:ascii="Marianne" w:hAnsi="Marianne"/>
          <w:sz w:val="20"/>
          <w:szCs w:val="24"/>
        </w:rPr>
        <w:t xml:space="preserve"> de</w:t>
      </w:r>
      <w:r w:rsidRPr="003973CC">
        <w:rPr>
          <w:rFonts w:ascii="Marianne" w:hAnsi="Marianne"/>
          <w:sz w:val="20"/>
          <w:szCs w:val="24"/>
        </w:rPr>
        <w:t xml:space="preserve"> prévoir par accord de branche ou accord collectif</w:t>
      </w:r>
      <w:r w:rsidR="009030C3" w:rsidRPr="003973CC">
        <w:rPr>
          <w:rFonts w:ascii="Marianne" w:hAnsi="Marianne"/>
          <w:sz w:val="20"/>
          <w:szCs w:val="24"/>
        </w:rPr>
        <w:t xml:space="preserve"> </w:t>
      </w:r>
      <w:r w:rsidRPr="003973CC">
        <w:rPr>
          <w:rFonts w:ascii="Marianne" w:hAnsi="Marianne"/>
          <w:sz w:val="20"/>
          <w:szCs w:val="24"/>
        </w:rPr>
        <w:t>les modalités de continuation et de financement de la poursuite de la</w:t>
      </w:r>
      <w:r w:rsidR="002B05E9" w:rsidRPr="003973CC">
        <w:rPr>
          <w:rFonts w:ascii="Marianne" w:hAnsi="Marianne"/>
          <w:sz w:val="20"/>
          <w:szCs w:val="24"/>
        </w:rPr>
        <w:t xml:space="preserve"> formation pendant une durée maximale de 6 mois à compter de la rupture, si l’action de professionnalisation prévue au contrat était d’au moins 12 mois.</w:t>
      </w:r>
    </w:p>
    <w:p w:rsidR="002B05E9" w:rsidRPr="003973CC" w:rsidRDefault="002B05E9" w:rsidP="007D0D87">
      <w:pPr>
        <w:spacing w:before="100" w:beforeAutospacing="1" w:after="100" w:afterAutospacing="1" w:line="240" w:lineRule="auto"/>
        <w:rPr>
          <w:rFonts w:ascii="Marianne" w:hAnsi="Marianne"/>
          <w:sz w:val="20"/>
          <w:szCs w:val="24"/>
        </w:rPr>
      </w:pPr>
      <w:r w:rsidRPr="003973CC">
        <w:rPr>
          <w:rFonts w:ascii="Marianne" w:hAnsi="Marianne"/>
          <w:sz w:val="20"/>
          <w:szCs w:val="24"/>
        </w:rPr>
        <w:t>Le salarié continuera de bénéficier des actions d’évaluations et d’accompagnement et des enseignements théoriques pendant cette période.</w:t>
      </w:r>
    </w:p>
    <w:p w:rsidR="009C3808" w:rsidRDefault="005A2679" w:rsidP="009C3808">
      <w:pPr>
        <w:spacing w:before="100" w:beforeAutospacing="1" w:after="100" w:afterAutospacing="1" w:line="240" w:lineRule="auto"/>
        <w:rPr>
          <w:rStyle w:val="Lienhypertexte"/>
          <w:rFonts w:ascii="Marianne" w:hAnsi="Marianne"/>
          <w:i/>
          <w:sz w:val="18"/>
          <w:szCs w:val="18"/>
        </w:rPr>
      </w:pPr>
      <w:hyperlink r:id="rId19" w:history="1">
        <w:r w:rsidR="009C3808" w:rsidRPr="003973CC">
          <w:rPr>
            <w:rStyle w:val="Lienhypertexte"/>
            <w:rFonts w:ascii="Marianne" w:hAnsi="Marianne"/>
            <w:i/>
            <w:sz w:val="18"/>
            <w:szCs w:val="18"/>
          </w:rPr>
          <w:t>Article L.6325-14-1 CT</w:t>
        </w:r>
      </w:hyperlink>
    </w:p>
    <w:p w:rsidR="003973CC" w:rsidRPr="003973CC" w:rsidRDefault="003973CC" w:rsidP="00EB5B88">
      <w:pPr>
        <w:spacing w:after="0" w:line="240" w:lineRule="auto"/>
        <w:rPr>
          <w:rFonts w:ascii="Marianne" w:hAnsi="Marianne"/>
          <w:i/>
          <w:sz w:val="18"/>
          <w:szCs w:val="18"/>
        </w:rPr>
      </w:pPr>
    </w:p>
    <w:tbl>
      <w:tblPr>
        <w:tblStyle w:val="Grilledutableau"/>
        <w:tblW w:w="0" w:type="auto"/>
        <w:tblBorders>
          <w:top w:val="single" w:sz="4" w:space="0" w:color="8EAADB" w:themeColor="accent5" w:themeTint="99"/>
          <w:left w:val="none" w:sz="0" w:space="0" w:color="auto"/>
          <w:bottom w:val="single" w:sz="4" w:space="0" w:color="8EAADB" w:themeColor="accent5" w:themeTint="99"/>
          <w:right w:val="none" w:sz="0" w:space="0" w:color="auto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2792"/>
        <w:gridCol w:w="4574"/>
        <w:gridCol w:w="2404"/>
      </w:tblGrid>
      <w:tr w:rsidR="009C3808" w:rsidRPr="003973CC" w:rsidTr="00EB5B88">
        <w:tc>
          <w:tcPr>
            <w:tcW w:w="2792" w:type="dxa"/>
          </w:tcPr>
          <w:p w:rsidR="009C3808" w:rsidRPr="003973CC" w:rsidRDefault="009C3808" w:rsidP="003973CC">
            <w:pPr>
              <w:spacing w:before="120" w:after="120"/>
              <w:rPr>
                <w:rFonts w:ascii="Marianne" w:hAnsi="Marianne"/>
                <w:b/>
                <w:szCs w:val="24"/>
              </w:rPr>
            </w:pPr>
            <w:r w:rsidRPr="003973CC">
              <w:rPr>
                <w:rFonts w:ascii="Marianne" w:hAnsi="Marianne"/>
                <w:b/>
                <w:szCs w:val="24"/>
              </w:rPr>
              <w:t>Hôtel – café - restaurant</w:t>
            </w:r>
          </w:p>
        </w:tc>
        <w:tc>
          <w:tcPr>
            <w:tcW w:w="4574" w:type="dxa"/>
          </w:tcPr>
          <w:p w:rsidR="009C3808" w:rsidRPr="003973CC" w:rsidRDefault="00D67599" w:rsidP="003973CC">
            <w:pPr>
              <w:spacing w:before="120" w:after="120"/>
              <w:rPr>
                <w:rFonts w:ascii="Marianne" w:hAnsi="Marianne"/>
                <w:sz w:val="20"/>
                <w:szCs w:val="24"/>
              </w:rPr>
            </w:pPr>
            <w:r w:rsidRPr="003973CC">
              <w:rPr>
                <w:rFonts w:ascii="Marianne" w:hAnsi="Marianne"/>
                <w:sz w:val="20"/>
                <w:szCs w:val="24"/>
              </w:rPr>
              <w:t>F</w:t>
            </w:r>
            <w:r w:rsidR="009C3808" w:rsidRPr="003973CC">
              <w:rPr>
                <w:rFonts w:ascii="Marianne" w:hAnsi="Marianne"/>
                <w:sz w:val="20"/>
                <w:szCs w:val="24"/>
              </w:rPr>
              <w:t xml:space="preserve">inancement de l’action de professionnalisation pendant </w:t>
            </w:r>
            <w:r w:rsidR="009C3808" w:rsidRPr="003973CC">
              <w:rPr>
                <w:rFonts w:ascii="Marianne" w:hAnsi="Marianne"/>
                <w:b/>
                <w:sz w:val="20"/>
                <w:szCs w:val="24"/>
              </w:rPr>
              <w:t>trois mois maximum</w:t>
            </w:r>
            <w:r w:rsidR="009C3808" w:rsidRPr="003973CC">
              <w:rPr>
                <w:rFonts w:ascii="Marianne" w:hAnsi="Marianne"/>
                <w:sz w:val="20"/>
                <w:szCs w:val="24"/>
              </w:rPr>
              <w:t>, sous réserve que le bénéficiaire du contrat ne soit pas à l’origine de la rupture.</w:t>
            </w:r>
          </w:p>
        </w:tc>
        <w:tc>
          <w:tcPr>
            <w:tcW w:w="2404" w:type="dxa"/>
          </w:tcPr>
          <w:p w:rsidR="009C3808" w:rsidRPr="003973CC" w:rsidRDefault="005A2679" w:rsidP="003973CC">
            <w:pPr>
              <w:spacing w:before="120" w:after="120"/>
              <w:rPr>
                <w:rFonts w:ascii="Marianne" w:hAnsi="Marianne"/>
                <w:sz w:val="18"/>
                <w:szCs w:val="18"/>
              </w:rPr>
            </w:pPr>
            <w:hyperlink r:id="rId20" w:history="1">
              <w:r w:rsidR="009C3808" w:rsidRPr="003973CC">
                <w:rPr>
                  <w:rStyle w:val="Lienhypertexte"/>
                  <w:rFonts w:ascii="Marianne" w:hAnsi="Marianne"/>
                  <w:sz w:val="18"/>
                  <w:szCs w:val="18"/>
                </w:rPr>
                <w:t>Accord du 15 décembre 2004, modifié par avenant n°3 du 18 juin 2013, Article 4-2-1 f </w:t>
              </w:r>
            </w:hyperlink>
          </w:p>
        </w:tc>
      </w:tr>
      <w:tr w:rsidR="009C3808" w:rsidRPr="003973CC" w:rsidTr="00EB5B88">
        <w:tc>
          <w:tcPr>
            <w:tcW w:w="2792" w:type="dxa"/>
          </w:tcPr>
          <w:p w:rsidR="009C3808" w:rsidRPr="003973CC" w:rsidRDefault="009C3808" w:rsidP="003973CC">
            <w:pPr>
              <w:spacing w:before="120" w:after="120"/>
              <w:rPr>
                <w:rFonts w:ascii="Marianne" w:hAnsi="Marianne"/>
                <w:b/>
                <w:szCs w:val="24"/>
              </w:rPr>
            </w:pPr>
            <w:r w:rsidRPr="003973CC">
              <w:rPr>
                <w:rFonts w:ascii="Marianne" w:hAnsi="Marianne"/>
                <w:b/>
                <w:szCs w:val="24"/>
              </w:rPr>
              <w:t>Automobile</w:t>
            </w:r>
          </w:p>
        </w:tc>
        <w:tc>
          <w:tcPr>
            <w:tcW w:w="4574" w:type="dxa"/>
          </w:tcPr>
          <w:p w:rsidR="009C3808" w:rsidRPr="003973CC" w:rsidRDefault="00D67599" w:rsidP="003973CC">
            <w:pPr>
              <w:spacing w:before="120" w:after="120"/>
              <w:rPr>
                <w:rFonts w:ascii="Marianne" w:hAnsi="Marianne"/>
                <w:sz w:val="20"/>
                <w:szCs w:val="24"/>
              </w:rPr>
            </w:pPr>
            <w:r w:rsidRPr="003973CC">
              <w:rPr>
                <w:rFonts w:ascii="Marianne" w:hAnsi="Marianne"/>
                <w:sz w:val="20"/>
                <w:szCs w:val="24"/>
              </w:rPr>
              <w:t xml:space="preserve">Financement de l’action pendant </w:t>
            </w:r>
            <w:r w:rsidRPr="003973CC">
              <w:rPr>
                <w:rFonts w:ascii="Marianne" w:hAnsi="Marianne"/>
                <w:b/>
                <w:sz w:val="20"/>
                <w:szCs w:val="24"/>
              </w:rPr>
              <w:t>trois mois</w:t>
            </w:r>
            <w:r w:rsidRPr="003973CC">
              <w:rPr>
                <w:rFonts w:ascii="Marianne" w:hAnsi="Marianne"/>
                <w:sz w:val="20"/>
                <w:szCs w:val="24"/>
              </w:rPr>
              <w:t xml:space="preserve"> en cas de licenciement pour motif économique, sous réserve que les actions de formation aient débuté avant la notification du licenciement, et que l’intéressé justifie de sa participation effective à ces actions.</w:t>
            </w:r>
          </w:p>
        </w:tc>
        <w:tc>
          <w:tcPr>
            <w:tcW w:w="2404" w:type="dxa"/>
          </w:tcPr>
          <w:p w:rsidR="009C3808" w:rsidRPr="003973CC" w:rsidRDefault="005A2679" w:rsidP="003973CC">
            <w:pPr>
              <w:spacing w:before="120" w:after="120"/>
              <w:rPr>
                <w:rFonts w:ascii="Marianne" w:hAnsi="Marianne"/>
                <w:sz w:val="18"/>
                <w:szCs w:val="18"/>
              </w:rPr>
            </w:pPr>
            <w:hyperlink r:id="rId21" w:history="1">
              <w:r w:rsidR="00582F98" w:rsidRPr="003973CC">
                <w:rPr>
                  <w:rStyle w:val="Lienhypertexte"/>
                  <w:rFonts w:ascii="Marianne" w:hAnsi="Marianne"/>
                  <w:sz w:val="18"/>
                  <w:szCs w:val="18"/>
                </w:rPr>
                <w:t>Annexe</w:t>
              </w:r>
              <w:r w:rsidR="00D67599" w:rsidRPr="003973CC">
                <w:rPr>
                  <w:rStyle w:val="Lienhypertexte"/>
                  <w:rFonts w:ascii="Marianne" w:hAnsi="Marianne"/>
                  <w:sz w:val="18"/>
                  <w:szCs w:val="18"/>
                </w:rPr>
                <w:t xml:space="preserve"> Contrat</w:t>
              </w:r>
              <w:r w:rsidR="00582F98" w:rsidRPr="003973CC">
                <w:rPr>
                  <w:rStyle w:val="Lienhypertexte"/>
                  <w:rFonts w:ascii="Marianne" w:hAnsi="Marianne"/>
                  <w:sz w:val="18"/>
                  <w:szCs w:val="18"/>
                </w:rPr>
                <w:t>s</w:t>
              </w:r>
              <w:r w:rsidR="00D67599" w:rsidRPr="003973CC">
                <w:rPr>
                  <w:rStyle w:val="Lienhypertexte"/>
                  <w:rFonts w:ascii="Marianne" w:hAnsi="Marianne"/>
                  <w:sz w:val="18"/>
                  <w:szCs w:val="18"/>
                </w:rPr>
                <w:t xml:space="preserve"> de professionnalisation Article 4 b</w:t>
              </w:r>
            </w:hyperlink>
          </w:p>
        </w:tc>
      </w:tr>
      <w:tr w:rsidR="009C3808" w:rsidRPr="003973CC" w:rsidTr="00EB5B88">
        <w:tc>
          <w:tcPr>
            <w:tcW w:w="2792" w:type="dxa"/>
          </w:tcPr>
          <w:p w:rsidR="009C3808" w:rsidRPr="003973CC" w:rsidRDefault="003973CC" w:rsidP="003973CC">
            <w:pPr>
              <w:spacing w:before="120" w:after="120"/>
              <w:rPr>
                <w:rFonts w:ascii="Marianne" w:hAnsi="Marianne"/>
                <w:b/>
                <w:szCs w:val="24"/>
              </w:rPr>
            </w:pPr>
            <w:r>
              <w:rPr>
                <w:rFonts w:ascii="Marianne" w:hAnsi="Marianne"/>
                <w:b/>
                <w:szCs w:val="24"/>
              </w:rPr>
              <w:t>Boulangeries/pâtisseries E</w:t>
            </w:r>
            <w:r w:rsidR="009C3808" w:rsidRPr="003973CC">
              <w:rPr>
                <w:rFonts w:ascii="Marianne" w:hAnsi="Marianne"/>
                <w:b/>
                <w:szCs w:val="24"/>
              </w:rPr>
              <w:t>ntreprises artisanales</w:t>
            </w:r>
          </w:p>
        </w:tc>
        <w:tc>
          <w:tcPr>
            <w:tcW w:w="4574" w:type="dxa"/>
          </w:tcPr>
          <w:p w:rsidR="009C3808" w:rsidRPr="003973CC" w:rsidRDefault="00D67599" w:rsidP="003973CC">
            <w:pPr>
              <w:spacing w:before="120" w:after="120"/>
              <w:rPr>
                <w:rFonts w:ascii="Marianne" w:hAnsi="Marianne"/>
                <w:sz w:val="20"/>
                <w:szCs w:val="24"/>
              </w:rPr>
            </w:pPr>
            <w:r w:rsidRPr="003973CC">
              <w:rPr>
                <w:rFonts w:ascii="Marianne" w:hAnsi="Marianne"/>
                <w:sz w:val="20"/>
                <w:szCs w:val="24"/>
              </w:rPr>
              <w:t>Néant ( ?)</w:t>
            </w:r>
          </w:p>
        </w:tc>
        <w:tc>
          <w:tcPr>
            <w:tcW w:w="2404" w:type="dxa"/>
          </w:tcPr>
          <w:p w:rsidR="009C3808" w:rsidRPr="003973CC" w:rsidRDefault="009C3808" w:rsidP="003973CC">
            <w:pPr>
              <w:spacing w:before="120" w:after="120"/>
              <w:rPr>
                <w:rFonts w:ascii="Marianne" w:hAnsi="Marianne"/>
                <w:sz w:val="18"/>
                <w:szCs w:val="18"/>
              </w:rPr>
            </w:pPr>
          </w:p>
        </w:tc>
      </w:tr>
    </w:tbl>
    <w:p w:rsidR="009C3808" w:rsidRPr="003973CC" w:rsidRDefault="009C3808" w:rsidP="007D0D87">
      <w:pPr>
        <w:spacing w:before="100" w:beforeAutospacing="1" w:after="100" w:afterAutospacing="1" w:line="240" w:lineRule="auto"/>
        <w:rPr>
          <w:rFonts w:ascii="Marianne" w:hAnsi="Marianne"/>
          <w:sz w:val="24"/>
          <w:szCs w:val="24"/>
        </w:rPr>
      </w:pPr>
      <w:bookmarkStart w:id="0" w:name="_GoBack"/>
      <w:bookmarkEnd w:id="0"/>
    </w:p>
    <w:sectPr w:rsidR="009C3808" w:rsidRPr="003973CC" w:rsidSect="00D7268C">
      <w:headerReference w:type="default" r:id="rId22"/>
      <w:pgSz w:w="11906" w:h="16838"/>
      <w:pgMar w:top="1418" w:right="992" w:bottom="425" w:left="992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68C" w:rsidRDefault="00D7268C" w:rsidP="00D7268C">
      <w:pPr>
        <w:spacing w:after="0" w:line="240" w:lineRule="auto"/>
      </w:pPr>
      <w:r>
        <w:separator/>
      </w:r>
    </w:p>
  </w:endnote>
  <w:endnote w:type="continuationSeparator" w:id="0">
    <w:p w:rsidR="00D7268C" w:rsidRDefault="00D7268C" w:rsidP="00D7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8C" w:rsidRPr="00D7268C" w:rsidRDefault="00D7268C" w:rsidP="00D7268C">
    <w:pPr>
      <w:tabs>
        <w:tab w:val="left" w:pos="2908"/>
        <w:tab w:val="left" w:pos="7938"/>
      </w:tabs>
      <w:ind w:left="-142"/>
      <w:rPr>
        <w:rFonts w:ascii="Marianne" w:hAnsi="Marianne"/>
        <w:b/>
        <w:sz w:val="16"/>
        <w:szCs w:val="18"/>
      </w:rPr>
    </w:pPr>
    <w:r w:rsidRPr="00825538">
      <w:rPr>
        <w:rFonts w:ascii="Marianne" w:hAnsi="Marianne"/>
        <w:b/>
        <w:noProof/>
        <w:sz w:val="18"/>
        <w:szCs w:val="18"/>
        <w:lang w:eastAsia="fr-FR"/>
      </w:rPr>
      <w:drawing>
        <wp:anchor distT="0" distB="0" distL="114300" distR="114300" simplePos="0" relativeHeight="251661312" behindDoc="1" locked="0" layoutInCell="1" allowOverlap="1" wp14:anchorId="5BD2430B" wp14:editId="2C62EA05">
          <wp:simplePos x="0" y="0"/>
          <wp:positionH relativeFrom="column">
            <wp:posOffset>5154930</wp:posOffset>
          </wp:positionH>
          <wp:positionV relativeFrom="paragraph">
            <wp:posOffset>-52070</wp:posOffset>
          </wp:positionV>
          <wp:extent cx="1162685" cy="359410"/>
          <wp:effectExtent l="0" t="0" r="0" b="2540"/>
          <wp:wrapThrough wrapText="bothSides">
            <wp:wrapPolygon edited="0">
              <wp:start x="0" y="0"/>
              <wp:lineTo x="0" y="20608"/>
              <wp:lineTo x="21234" y="20608"/>
              <wp:lineTo x="21234" y="0"/>
              <wp:lineTo x="0" y="0"/>
            </wp:wrapPolygon>
          </wp:wrapThrough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reets_grand_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538">
      <w:rPr>
        <w:noProof/>
        <w:lang w:eastAsia="fr-FR"/>
      </w:rPr>
      <w:drawing>
        <wp:inline distT="0" distB="0" distL="0" distR="0" wp14:anchorId="69B8804E" wp14:editId="661F1CE8">
          <wp:extent cx="3105150" cy="314325"/>
          <wp:effectExtent l="0" t="0" r="0" b="9525"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0515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68C" w:rsidRDefault="00D7268C" w:rsidP="00D7268C">
      <w:pPr>
        <w:spacing w:after="0" w:line="240" w:lineRule="auto"/>
      </w:pPr>
      <w:r>
        <w:separator/>
      </w:r>
    </w:p>
  </w:footnote>
  <w:footnote w:type="continuationSeparator" w:id="0">
    <w:p w:rsidR="00D7268C" w:rsidRDefault="00D7268C" w:rsidP="00D7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8C" w:rsidRPr="00E63E5D" w:rsidRDefault="002A650B" w:rsidP="002A650B">
    <w:pPr>
      <w:pBdr>
        <w:left w:val="single" w:sz="4" w:space="4" w:color="auto"/>
      </w:pBdr>
      <w:tabs>
        <w:tab w:val="right" w:pos="9072"/>
      </w:tabs>
      <w:spacing w:after="0" w:line="240" w:lineRule="auto"/>
      <w:ind w:left="2410"/>
      <w:jc w:val="both"/>
      <w:rPr>
        <w:rFonts w:ascii="Marianne" w:hAnsi="Marianne"/>
        <w:b/>
        <w:sz w:val="16"/>
      </w:rPr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-65405</wp:posOffset>
          </wp:positionH>
          <wp:positionV relativeFrom="paragraph">
            <wp:posOffset>-226175</wp:posOffset>
          </wp:positionV>
          <wp:extent cx="1514475" cy="1162050"/>
          <wp:effectExtent l="0" t="0" r="0" b="0"/>
          <wp:wrapNone/>
          <wp:docPr id="1" name="Image 2" descr="8BBB2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8BBB23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268C" w:rsidRPr="00E63E5D">
      <w:rPr>
        <w:rFonts w:ascii="Marianne" w:hAnsi="Marianne"/>
        <w:b/>
        <w:sz w:val="16"/>
      </w:rPr>
      <w:t>Direction régionale</w:t>
    </w:r>
  </w:p>
  <w:p w:rsidR="00D7268C" w:rsidRPr="00E63E5D" w:rsidRDefault="00D7268C" w:rsidP="002A650B">
    <w:pPr>
      <w:pBdr>
        <w:left w:val="single" w:sz="4" w:space="4" w:color="auto"/>
      </w:pBdr>
      <w:tabs>
        <w:tab w:val="right" w:pos="9072"/>
      </w:tabs>
      <w:spacing w:after="0" w:line="240" w:lineRule="auto"/>
      <w:ind w:left="2410"/>
      <w:jc w:val="both"/>
      <w:rPr>
        <w:rFonts w:ascii="Marianne" w:hAnsi="Marianne"/>
        <w:b/>
        <w:sz w:val="16"/>
      </w:rPr>
    </w:pPr>
    <w:proofErr w:type="gramStart"/>
    <w:r w:rsidRPr="00E63E5D">
      <w:rPr>
        <w:rFonts w:ascii="Marianne" w:hAnsi="Marianne"/>
        <w:b/>
        <w:sz w:val="16"/>
      </w:rPr>
      <w:t>de</w:t>
    </w:r>
    <w:proofErr w:type="gramEnd"/>
    <w:r w:rsidRPr="00E63E5D">
      <w:rPr>
        <w:rFonts w:ascii="Marianne" w:hAnsi="Marianne"/>
        <w:b/>
        <w:sz w:val="16"/>
      </w:rPr>
      <w:t xml:space="preserve"> l’économie, de l’emploi</w:t>
    </w:r>
  </w:p>
  <w:p w:rsidR="00D7268C" w:rsidRPr="00E63E5D" w:rsidRDefault="00D7268C" w:rsidP="002A650B">
    <w:pPr>
      <w:pBdr>
        <w:left w:val="single" w:sz="4" w:space="4" w:color="auto"/>
      </w:pBdr>
      <w:tabs>
        <w:tab w:val="right" w:pos="9072"/>
      </w:tabs>
      <w:spacing w:after="0" w:line="240" w:lineRule="auto"/>
      <w:ind w:left="2410"/>
      <w:jc w:val="both"/>
      <w:rPr>
        <w:rFonts w:ascii="Marianne" w:hAnsi="Marianne"/>
        <w:b/>
        <w:sz w:val="16"/>
      </w:rPr>
    </w:pPr>
    <w:proofErr w:type="gramStart"/>
    <w:r w:rsidRPr="00E63E5D">
      <w:rPr>
        <w:rFonts w:ascii="Marianne" w:hAnsi="Marianne"/>
        <w:b/>
        <w:sz w:val="16"/>
      </w:rPr>
      <w:t>du</w:t>
    </w:r>
    <w:proofErr w:type="gramEnd"/>
    <w:r w:rsidRPr="00E63E5D">
      <w:rPr>
        <w:rFonts w:ascii="Marianne" w:hAnsi="Marianne"/>
        <w:b/>
        <w:sz w:val="16"/>
      </w:rPr>
      <w:t xml:space="preserve"> travail et des solidarités</w:t>
    </w:r>
  </w:p>
  <w:p w:rsidR="00D7268C" w:rsidRPr="00E63E5D" w:rsidRDefault="00D7268C" w:rsidP="002A650B">
    <w:pPr>
      <w:pBdr>
        <w:left w:val="single" w:sz="4" w:space="4" w:color="auto"/>
      </w:pBdr>
      <w:tabs>
        <w:tab w:val="right" w:pos="9072"/>
      </w:tabs>
      <w:spacing w:after="0" w:line="240" w:lineRule="auto"/>
      <w:ind w:left="2410"/>
      <w:jc w:val="both"/>
      <w:rPr>
        <w:rFonts w:ascii="Marianne" w:hAnsi="Marianne"/>
        <w:b/>
        <w:sz w:val="16"/>
      </w:rPr>
    </w:pPr>
    <w:proofErr w:type="gramStart"/>
    <w:r w:rsidRPr="00E63E5D">
      <w:rPr>
        <w:rFonts w:ascii="Marianne" w:hAnsi="Marianne"/>
        <w:b/>
        <w:sz w:val="16"/>
      </w:rPr>
      <w:t>du</w:t>
    </w:r>
    <w:proofErr w:type="gramEnd"/>
    <w:r w:rsidRPr="00E63E5D">
      <w:rPr>
        <w:rFonts w:ascii="Marianne" w:hAnsi="Marianne"/>
        <w:b/>
        <w:sz w:val="16"/>
      </w:rPr>
      <w:t xml:space="preserve"> Grand Est</w:t>
    </w:r>
  </w:p>
  <w:p w:rsidR="00D7268C" w:rsidRDefault="00D7268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CC" w:rsidRPr="003973CC" w:rsidRDefault="003973CC" w:rsidP="003973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AF8"/>
    <w:multiLevelType w:val="multilevel"/>
    <w:tmpl w:val="9286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12F61"/>
    <w:multiLevelType w:val="hybridMultilevel"/>
    <w:tmpl w:val="060085D2"/>
    <w:lvl w:ilvl="0" w:tplc="0450BFA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649B1"/>
    <w:multiLevelType w:val="multilevel"/>
    <w:tmpl w:val="9224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A22CBB"/>
    <w:multiLevelType w:val="hybridMultilevel"/>
    <w:tmpl w:val="07A20E82"/>
    <w:lvl w:ilvl="0" w:tplc="E758AB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41"/>
    <w:rsid w:val="000140BD"/>
    <w:rsid w:val="000716A2"/>
    <w:rsid w:val="00121009"/>
    <w:rsid w:val="0013168D"/>
    <w:rsid w:val="00137448"/>
    <w:rsid w:val="0014186F"/>
    <w:rsid w:val="002223FD"/>
    <w:rsid w:val="002A40A3"/>
    <w:rsid w:val="002A650B"/>
    <w:rsid w:val="002B05E9"/>
    <w:rsid w:val="00327F6E"/>
    <w:rsid w:val="00352280"/>
    <w:rsid w:val="003973CC"/>
    <w:rsid w:val="00407CBA"/>
    <w:rsid w:val="00423D2E"/>
    <w:rsid w:val="00430DEB"/>
    <w:rsid w:val="0044235C"/>
    <w:rsid w:val="004B6D96"/>
    <w:rsid w:val="004C19E5"/>
    <w:rsid w:val="00521870"/>
    <w:rsid w:val="005379BB"/>
    <w:rsid w:val="005739EC"/>
    <w:rsid w:val="00582F98"/>
    <w:rsid w:val="00593092"/>
    <w:rsid w:val="005A2679"/>
    <w:rsid w:val="005A42E5"/>
    <w:rsid w:val="005A7A0D"/>
    <w:rsid w:val="005A7C41"/>
    <w:rsid w:val="005E11EC"/>
    <w:rsid w:val="00633FD0"/>
    <w:rsid w:val="00672767"/>
    <w:rsid w:val="00680E6D"/>
    <w:rsid w:val="006A1526"/>
    <w:rsid w:val="006B7824"/>
    <w:rsid w:val="007266DE"/>
    <w:rsid w:val="0075273F"/>
    <w:rsid w:val="0076340B"/>
    <w:rsid w:val="0076733C"/>
    <w:rsid w:val="007B1C25"/>
    <w:rsid w:val="007B6A1C"/>
    <w:rsid w:val="007D0D87"/>
    <w:rsid w:val="00872F92"/>
    <w:rsid w:val="008D7410"/>
    <w:rsid w:val="008F173D"/>
    <w:rsid w:val="009030C3"/>
    <w:rsid w:val="009127F1"/>
    <w:rsid w:val="009A7705"/>
    <w:rsid w:val="009B7789"/>
    <w:rsid w:val="009C3808"/>
    <w:rsid w:val="009F3757"/>
    <w:rsid w:val="00A224F9"/>
    <w:rsid w:val="00A40A76"/>
    <w:rsid w:val="00A760F2"/>
    <w:rsid w:val="00AC05E5"/>
    <w:rsid w:val="00B910D1"/>
    <w:rsid w:val="00BD0CD6"/>
    <w:rsid w:val="00BE08D6"/>
    <w:rsid w:val="00C2100C"/>
    <w:rsid w:val="00C7149D"/>
    <w:rsid w:val="00CF251B"/>
    <w:rsid w:val="00D02E9A"/>
    <w:rsid w:val="00D1249A"/>
    <w:rsid w:val="00D3031A"/>
    <w:rsid w:val="00D67599"/>
    <w:rsid w:val="00D7268C"/>
    <w:rsid w:val="00DA7F2D"/>
    <w:rsid w:val="00DC7F42"/>
    <w:rsid w:val="00DF5C96"/>
    <w:rsid w:val="00E01741"/>
    <w:rsid w:val="00E32965"/>
    <w:rsid w:val="00E57705"/>
    <w:rsid w:val="00EB5B88"/>
    <w:rsid w:val="00F01D61"/>
    <w:rsid w:val="00F11B9E"/>
    <w:rsid w:val="00F35EC4"/>
    <w:rsid w:val="00F50699"/>
    <w:rsid w:val="00F9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B959705-6D83-45FF-93E6-AFCD0329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02E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72F92"/>
    <w:rPr>
      <w:b/>
      <w:bCs/>
    </w:rPr>
  </w:style>
  <w:style w:type="character" w:styleId="Lienhypertexte">
    <w:name w:val="Hyperlink"/>
    <w:basedOn w:val="Policepardfaut"/>
    <w:uiPriority w:val="99"/>
    <w:unhideWhenUsed/>
    <w:rsid w:val="004C19E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11B9E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72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68C"/>
  </w:style>
  <w:style w:type="paragraph" w:styleId="Pieddepage">
    <w:name w:val="footer"/>
    <w:basedOn w:val="Normal"/>
    <w:link w:val="PieddepageCar"/>
    <w:uiPriority w:val="99"/>
    <w:unhideWhenUsed/>
    <w:rsid w:val="00D72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egifrance.gouv.fr/codes/article_lc/LEGIARTI000019071194?isSuggest=tru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egifrance.gouv.fr/conv_coll/id/KALISCTA000030087298/?idConteneur=KALICONT000005635191&amp;origin=lis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travail-emploi.gouv.fr/publications/picts/bo/30082012/TRE_20120008_0110_0005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france.gouv.fr/codes/article_lc/LEGIARTI000006904267?isSuggest=true" TargetMode="External"/><Relationship Id="rId20" Type="http://schemas.openxmlformats.org/officeDocument/2006/relationships/hyperlink" Target="https://www.legifrance.gouv.fr/conv_coll/id/KALITEXT000005671456?init=true&amp;page=1&amp;query=Accord+du+15+d%C3%A9cembre+2004&amp;searchField=ALL&amp;tab_selection=al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france.gouv.fr/codes/article_lc/LEGIARTI000006901221?isSuggest=true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legifrance.gouv.fr/codes/article_lc/LEGIARTI000043797503?isSuggest=tru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ravail-emploi.gouv.fr/publications/picts/bo/30082012/TRE_20120008_0110_0005.pdf" TargetMode="External"/><Relationship Id="rId19" Type="http://schemas.openxmlformats.org/officeDocument/2006/relationships/hyperlink" Target="https://www.legifrance.gouv.fr/codes/article_lc/LEGIARTI000037386537?init=true&amp;page=1&amp;query=L6325-14-1&amp;searchField=ALL&amp;tab_selection=al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lternance.emploi.gouv.fr/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F39D7783D664BABCB004399CAF5C5" ma:contentTypeVersion="3" ma:contentTypeDescription="Crée un document." ma:contentTypeScope="" ma:versionID="35d12c72d1b06c4aebe2ec3e921309ff">
  <xsd:schema xmlns:xsd="http://www.w3.org/2001/XMLSchema" xmlns:xs="http://www.w3.org/2001/XMLSchema" xmlns:p="http://schemas.microsoft.com/office/2006/metadata/properties" xmlns:ns2="ddd8ede4-c600-476d-a99d-dfac9d1b9eeb" targetNamespace="http://schemas.microsoft.com/office/2006/metadata/properties" ma:root="true" ma:fieldsID="4f9a90442465100a23806a07fc6cc5ac" ns2:_="">
    <xsd:import namespace="ddd8ede4-c600-476d-a99d-dfac9d1b9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8ede4-c600-476d-a99d-dfac9d1b9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DA681D-E6EB-4AF3-BFA5-D58D0F8FB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8ede4-c600-476d-a99d-dfac9d1b9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915BF6-0549-4748-9023-261D0DFB7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CE08A-187A-4EA2-B2CB-5A16100B97E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dd8ede4-c600-476d-a99d-dfac9d1b9ee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JEANNIARD Oriane</dc:creator>
  <cp:keywords/>
  <dc:description/>
  <cp:lastModifiedBy>BRACONNIER, Catherine (DREETS-GE)</cp:lastModifiedBy>
  <cp:revision>6</cp:revision>
  <dcterms:created xsi:type="dcterms:W3CDTF">2024-01-18T10:25:00Z</dcterms:created>
  <dcterms:modified xsi:type="dcterms:W3CDTF">2024-01-24T08:13:00Z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0x010100DCEF39D7783D664BABCB004399CAF5C5</vt:lpwstr>
  </property>
</Properties>
</file>