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946" w:rsidRPr="0035166C" w:rsidRDefault="00EA1946" w:rsidP="00C042CD">
      <w:pPr>
        <w:tabs>
          <w:tab w:val="center" w:pos="4820"/>
        </w:tabs>
        <w:spacing w:after="120"/>
        <w:rPr>
          <w:rFonts w:ascii="Marianne ExtraBold" w:eastAsia="Calibri" w:hAnsi="Marianne ExtraBold"/>
          <w:b/>
          <w:sz w:val="40"/>
          <w:szCs w:val="20"/>
        </w:rPr>
      </w:pPr>
    </w:p>
    <w:p w:rsidR="00C042CD" w:rsidRPr="00364477" w:rsidRDefault="00C042CD" w:rsidP="00C042CD">
      <w:pPr>
        <w:tabs>
          <w:tab w:val="center" w:pos="4820"/>
        </w:tabs>
        <w:spacing w:after="120"/>
        <w:rPr>
          <w:rFonts w:ascii="Marianne ExtraBold" w:eastAsia="Calibri" w:hAnsi="Marianne ExtraBold"/>
          <w:b/>
          <w:sz w:val="44"/>
          <w:szCs w:val="20"/>
        </w:rPr>
      </w:pPr>
      <w:r>
        <w:rPr>
          <w:rFonts w:ascii="Marianne ExtraBold" w:eastAsia="Calibri" w:hAnsi="Marianne ExtraBold"/>
          <w:b/>
          <w:sz w:val="44"/>
          <w:szCs w:val="20"/>
        </w:rPr>
        <w:t>FICHE 8</w:t>
      </w:r>
      <w:r w:rsidRPr="00364477">
        <w:rPr>
          <w:rFonts w:ascii="Marianne ExtraBold" w:eastAsia="Calibri" w:hAnsi="Marianne ExtraBold"/>
          <w:b/>
          <w:sz w:val="44"/>
          <w:szCs w:val="20"/>
        </w:rPr>
        <w:t xml:space="preserve"> </w:t>
      </w:r>
    </w:p>
    <w:p w:rsidR="00C042CD" w:rsidRDefault="00C042CD" w:rsidP="00C042CD">
      <w:pPr>
        <w:rPr>
          <w:rFonts w:ascii="Marianne ExtraBold" w:eastAsia="Calibri" w:hAnsi="Marianne ExtraBold"/>
          <w:b/>
          <w:sz w:val="39"/>
          <w:szCs w:val="39"/>
        </w:rPr>
      </w:pPr>
      <w:r w:rsidRPr="00C042CD">
        <w:rPr>
          <w:rFonts w:ascii="Marianne ExtraBold" w:eastAsia="Calibri" w:hAnsi="Marianne ExtraBold"/>
          <w:b/>
          <w:sz w:val="39"/>
          <w:szCs w:val="39"/>
        </w:rPr>
        <w:t>Dérogation à l’interdiction de travailler de nuit : focus sur la boulangerie pâtisserie et sur les HCR</w:t>
      </w:r>
    </w:p>
    <w:p w:rsidR="00C042CD" w:rsidRPr="00CD1955" w:rsidRDefault="00C042CD" w:rsidP="00C042CD">
      <w:pPr>
        <w:rPr>
          <w:rFonts w:ascii="Marianne" w:hAnsi="Marianne"/>
          <w:sz w:val="16"/>
        </w:rPr>
      </w:pPr>
    </w:p>
    <w:p w:rsidR="00691518" w:rsidRPr="00EA1946" w:rsidRDefault="00691518" w:rsidP="00691518">
      <w:pPr>
        <w:pStyle w:val="Sansinterligne"/>
        <w:jc w:val="both"/>
        <w:rPr>
          <w:rFonts w:ascii="Marianne" w:hAnsi="Marianne"/>
          <w:b/>
          <w:sz w:val="20"/>
        </w:rPr>
      </w:pPr>
    </w:p>
    <w:p w:rsidR="00691518" w:rsidRPr="00EA1946" w:rsidRDefault="00691518" w:rsidP="00EA1946">
      <w:pPr>
        <w:shd w:val="clear" w:color="auto" w:fill="E2EFD9" w:themeFill="accent6" w:themeFillTint="33"/>
        <w:autoSpaceDE w:val="0"/>
        <w:autoSpaceDN w:val="0"/>
        <w:adjustRightInd w:val="0"/>
        <w:spacing w:after="0" w:line="240" w:lineRule="auto"/>
        <w:jc w:val="both"/>
        <w:rPr>
          <w:rFonts w:ascii="Marianne" w:hAnsi="Marianne" w:cstheme="minorHAnsi"/>
          <w:sz w:val="20"/>
        </w:rPr>
      </w:pPr>
      <w:r w:rsidRPr="00EA1946">
        <w:rPr>
          <w:rFonts w:ascii="Marianne" w:hAnsi="Marianne" w:cstheme="minorHAnsi"/>
          <w:sz w:val="20"/>
        </w:rPr>
        <w:t xml:space="preserve">La dérogation nécessite une décision de l’inspecteur du travail. Elle est accordée </w:t>
      </w:r>
      <w:r w:rsidRPr="00EA1946">
        <w:rPr>
          <w:rFonts w:ascii="Marianne" w:hAnsi="Marianne" w:cstheme="minorHAnsi"/>
          <w:b/>
          <w:bCs/>
          <w:sz w:val="20"/>
        </w:rPr>
        <w:t>pour une durée maximale d'une année, renouvelable</w:t>
      </w:r>
      <w:r w:rsidRPr="00EA1946">
        <w:rPr>
          <w:rFonts w:ascii="Marianne" w:hAnsi="Marianne" w:cstheme="minorHAnsi"/>
          <w:sz w:val="20"/>
        </w:rPr>
        <w:t>.</w:t>
      </w:r>
    </w:p>
    <w:p w:rsidR="00691518" w:rsidRPr="00EA1946" w:rsidRDefault="00691518" w:rsidP="00EA1946">
      <w:pPr>
        <w:shd w:val="clear" w:color="auto" w:fill="E2EFD9" w:themeFill="accent6" w:themeFillTint="33"/>
        <w:autoSpaceDE w:val="0"/>
        <w:autoSpaceDN w:val="0"/>
        <w:adjustRightInd w:val="0"/>
        <w:spacing w:after="0" w:line="240" w:lineRule="auto"/>
        <w:jc w:val="both"/>
        <w:rPr>
          <w:rFonts w:ascii="Marianne" w:hAnsi="Marianne" w:cstheme="minorHAnsi"/>
          <w:sz w:val="20"/>
        </w:rPr>
      </w:pPr>
    </w:p>
    <w:p w:rsidR="00691518" w:rsidRPr="00EA1946" w:rsidRDefault="00691518" w:rsidP="00EA1946">
      <w:pPr>
        <w:shd w:val="clear" w:color="auto" w:fill="E2EFD9" w:themeFill="accent6" w:themeFillTint="33"/>
        <w:autoSpaceDE w:val="0"/>
        <w:autoSpaceDN w:val="0"/>
        <w:adjustRightInd w:val="0"/>
        <w:spacing w:after="0" w:line="240" w:lineRule="auto"/>
        <w:jc w:val="both"/>
        <w:rPr>
          <w:rFonts w:ascii="Marianne" w:hAnsi="Marianne" w:cstheme="minorHAnsi"/>
          <w:sz w:val="20"/>
        </w:rPr>
      </w:pPr>
      <w:r w:rsidRPr="00EA1946">
        <w:rPr>
          <w:rFonts w:ascii="Marianne" w:hAnsi="Marianne" w:cstheme="minorHAnsi"/>
          <w:sz w:val="20"/>
        </w:rPr>
        <w:t>Cela signifie que la durée d’un an n’a pas de caractère automatique ; elle peut être inférieure, par exemple pour 6 mois pour les jeunes entre 16 et 17 ans ou pour un autre motif tiré de l’enquête ou de la connaissance de l’établissement.</w:t>
      </w:r>
    </w:p>
    <w:p w:rsidR="00691518" w:rsidRPr="00EA1946" w:rsidRDefault="00691518" w:rsidP="00EA1946">
      <w:pPr>
        <w:shd w:val="clear" w:color="auto" w:fill="E2EFD9" w:themeFill="accent6" w:themeFillTint="33"/>
        <w:autoSpaceDE w:val="0"/>
        <w:autoSpaceDN w:val="0"/>
        <w:adjustRightInd w:val="0"/>
        <w:spacing w:after="0" w:line="240" w:lineRule="auto"/>
        <w:jc w:val="both"/>
        <w:rPr>
          <w:rFonts w:ascii="Marianne" w:hAnsi="Marianne" w:cstheme="minorHAnsi"/>
          <w:sz w:val="20"/>
        </w:rPr>
      </w:pPr>
    </w:p>
    <w:p w:rsidR="00691518" w:rsidRPr="00EA1946" w:rsidRDefault="00691518" w:rsidP="00EA1946">
      <w:pPr>
        <w:shd w:val="clear" w:color="auto" w:fill="E2EFD9" w:themeFill="accent6" w:themeFillTint="33"/>
        <w:autoSpaceDE w:val="0"/>
        <w:autoSpaceDN w:val="0"/>
        <w:adjustRightInd w:val="0"/>
        <w:spacing w:after="0" w:line="240" w:lineRule="auto"/>
        <w:jc w:val="both"/>
        <w:rPr>
          <w:rFonts w:ascii="Marianne" w:hAnsi="Marianne" w:cstheme="minorHAnsi"/>
          <w:sz w:val="20"/>
        </w:rPr>
      </w:pPr>
      <w:r w:rsidRPr="00EA1946">
        <w:rPr>
          <w:rFonts w:ascii="Marianne" w:hAnsi="Marianne" w:cstheme="minorHAnsi"/>
          <w:sz w:val="20"/>
        </w:rPr>
        <w:t xml:space="preserve">A défaut de réponse dans le délai d'un mois suivant le dépôt de la demande, l'autorisation est </w:t>
      </w:r>
      <w:r w:rsidRPr="00EA1946">
        <w:rPr>
          <w:rFonts w:ascii="Marianne" w:hAnsi="Marianne" w:cstheme="minorHAnsi"/>
          <w:b/>
          <w:bCs/>
          <w:sz w:val="20"/>
        </w:rPr>
        <w:t xml:space="preserve">réputée accordée </w:t>
      </w:r>
      <w:r w:rsidRPr="00EA1946">
        <w:rPr>
          <w:rFonts w:ascii="Marianne" w:hAnsi="Marianne" w:cstheme="minorHAnsi"/>
          <w:sz w:val="20"/>
        </w:rPr>
        <w:t>(R.3163-5 du code du travail).</w:t>
      </w:r>
    </w:p>
    <w:p w:rsidR="00691518" w:rsidRPr="00EA1946" w:rsidRDefault="00691518" w:rsidP="00691518">
      <w:pPr>
        <w:autoSpaceDE w:val="0"/>
        <w:autoSpaceDN w:val="0"/>
        <w:adjustRightInd w:val="0"/>
        <w:spacing w:after="0" w:line="240" w:lineRule="auto"/>
        <w:jc w:val="both"/>
        <w:rPr>
          <w:rFonts w:ascii="Marianne" w:hAnsi="Marianne" w:cstheme="minorHAnsi"/>
          <w:sz w:val="20"/>
        </w:rPr>
      </w:pPr>
    </w:p>
    <w:p w:rsidR="00EA1946" w:rsidRPr="00EA1946" w:rsidRDefault="00EA1946" w:rsidP="00691518">
      <w:pPr>
        <w:autoSpaceDE w:val="0"/>
        <w:autoSpaceDN w:val="0"/>
        <w:adjustRightInd w:val="0"/>
        <w:spacing w:after="0" w:line="240" w:lineRule="auto"/>
        <w:jc w:val="both"/>
        <w:rPr>
          <w:rFonts w:ascii="Marianne" w:hAnsi="Marianne" w:cstheme="minorHAnsi"/>
          <w:sz w:val="20"/>
        </w:rPr>
      </w:pPr>
    </w:p>
    <w:p w:rsidR="00691518" w:rsidRPr="00EA1946" w:rsidRDefault="00EA1946" w:rsidP="00EA1946">
      <w:pPr>
        <w:autoSpaceDE w:val="0"/>
        <w:autoSpaceDN w:val="0"/>
        <w:adjustRightInd w:val="0"/>
        <w:spacing w:after="0" w:line="240" w:lineRule="auto"/>
        <w:ind w:left="360"/>
        <w:jc w:val="both"/>
        <w:rPr>
          <w:rFonts w:ascii="Marianne" w:hAnsi="Marianne" w:cstheme="minorHAnsi"/>
          <w:b/>
          <w:bCs/>
          <w:sz w:val="32"/>
        </w:rPr>
      </w:pPr>
      <w:r w:rsidRPr="00EA1946">
        <w:rPr>
          <w:rFonts w:ascii="Marianne" w:hAnsi="Marianne"/>
          <w:b/>
          <w:color w:val="800080"/>
          <w:sz w:val="32"/>
          <w:szCs w:val="28"/>
        </w:rPr>
        <w:t>A</w:t>
      </w:r>
      <w:r>
        <w:rPr>
          <w:rFonts w:ascii="Marianne" w:hAnsi="Marianne"/>
          <w:b/>
          <w:color w:val="800080"/>
          <w:sz w:val="32"/>
          <w:szCs w:val="28"/>
        </w:rPr>
        <w:t xml:space="preserve"> </w:t>
      </w:r>
      <w:r w:rsidRPr="00EA1946">
        <w:rPr>
          <w:rFonts w:ascii="Marianne" w:hAnsi="Marianne"/>
          <w:b/>
          <w:color w:val="800080"/>
          <w:sz w:val="32"/>
          <w:szCs w:val="28"/>
        </w:rPr>
        <w:t>-</w:t>
      </w:r>
      <w:r>
        <w:rPr>
          <w:rFonts w:ascii="Marianne" w:hAnsi="Marianne"/>
          <w:b/>
          <w:color w:val="800080"/>
          <w:sz w:val="32"/>
          <w:szCs w:val="28"/>
        </w:rPr>
        <w:t xml:space="preserve"> La boulangerie et la pâ</w:t>
      </w:r>
      <w:r w:rsidRPr="00EA1946">
        <w:rPr>
          <w:rFonts w:ascii="Marianne" w:hAnsi="Marianne"/>
          <w:b/>
          <w:color w:val="800080"/>
          <w:sz w:val="32"/>
          <w:szCs w:val="28"/>
        </w:rPr>
        <w:t>tisserie</w:t>
      </w:r>
      <w:r w:rsidR="00691518" w:rsidRPr="00EA1946">
        <w:rPr>
          <w:rFonts w:ascii="Marianne" w:hAnsi="Marianne" w:cstheme="minorHAnsi"/>
          <w:b/>
          <w:bCs/>
          <w:sz w:val="32"/>
        </w:rPr>
        <w:t> :</w:t>
      </w:r>
    </w:p>
    <w:p w:rsidR="00691518" w:rsidRPr="00631A02" w:rsidRDefault="00691518" w:rsidP="00691518">
      <w:pPr>
        <w:autoSpaceDE w:val="0"/>
        <w:autoSpaceDN w:val="0"/>
        <w:adjustRightInd w:val="0"/>
        <w:spacing w:after="0" w:line="240" w:lineRule="auto"/>
        <w:jc w:val="both"/>
        <w:rPr>
          <w:rFonts w:ascii="Marianne" w:hAnsi="Marianne" w:cs="Calibri-Bold"/>
          <w:b/>
          <w:bCs/>
          <w:color w:val="08622D"/>
        </w:rPr>
      </w:pPr>
    </w:p>
    <w:p w:rsidR="00691518" w:rsidRPr="00EA1946" w:rsidRDefault="00691518" w:rsidP="00691518">
      <w:pPr>
        <w:autoSpaceDE w:val="0"/>
        <w:autoSpaceDN w:val="0"/>
        <w:adjustRightInd w:val="0"/>
        <w:spacing w:after="0" w:line="240" w:lineRule="auto"/>
        <w:jc w:val="both"/>
        <w:rPr>
          <w:rFonts w:ascii="Marianne" w:hAnsi="Marianne" w:cs="Calibri"/>
          <w:color w:val="000000"/>
          <w:sz w:val="20"/>
        </w:rPr>
      </w:pPr>
      <w:r w:rsidRPr="00EA1946">
        <w:rPr>
          <w:rFonts w:ascii="Marianne" w:hAnsi="Marianne" w:cs="Calibri"/>
          <w:color w:val="000000"/>
          <w:sz w:val="20"/>
        </w:rPr>
        <w:t>Le travail de nuit peut être autorisé par l’inspecteur du travail, dans la boulangerie et la pâtisserie, pour les jeunes travailleurs dont les apprentis boulangers et pâtissiers, de 16 à 18 ans, à partir de 4 heures du matin.</w:t>
      </w:r>
    </w:p>
    <w:p w:rsidR="00691518" w:rsidRPr="00EA1946" w:rsidRDefault="00691518" w:rsidP="00691518">
      <w:pPr>
        <w:autoSpaceDE w:val="0"/>
        <w:autoSpaceDN w:val="0"/>
        <w:adjustRightInd w:val="0"/>
        <w:spacing w:after="0" w:line="240" w:lineRule="auto"/>
        <w:jc w:val="both"/>
        <w:rPr>
          <w:rFonts w:ascii="Marianne" w:hAnsi="Marianne" w:cs="Calibri"/>
          <w:color w:val="000000"/>
          <w:sz w:val="20"/>
        </w:rPr>
      </w:pPr>
    </w:p>
    <w:p w:rsidR="00691518" w:rsidRPr="00EA1946" w:rsidRDefault="00691518" w:rsidP="00691518">
      <w:pPr>
        <w:autoSpaceDE w:val="0"/>
        <w:autoSpaceDN w:val="0"/>
        <w:adjustRightInd w:val="0"/>
        <w:spacing w:after="0" w:line="240" w:lineRule="auto"/>
        <w:jc w:val="both"/>
        <w:rPr>
          <w:rFonts w:ascii="Marianne" w:hAnsi="Marianne" w:cs="Calibri"/>
          <w:color w:val="000000"/>
          <w:sz w:val="20"/>
        </w:rPr>
      </w:pPr>
      <w:r w:rsidRPr="00EA1946">
        <w:rPr>
          <w:rFonts w:ascii="Marianne" w:hAnsi="Marianne" w:cs="Calibri"/>
          <w:color w:val="000000"/>
          <w:sz w:val="20"/>
        </w:rPr>
        <w:t>La dérogation ne peut être accordée que pour permettre au jeune de participer à l’intégralité du cycle de fabrication du pain ou de la pâtisserie.</w:t>
      </w:r>
    </w:p>
    <w:p w:rsidR="00691518" w:rsidRPr="00EA1946" w:rsidRDefault="00691518" w:rsidP="00691518">
      <w:pPr>
        <w:autoSpaceDE w:val="0"/>
        <w:autoSpaceDN w:val="0"/>
        <w:adjustRightInd w:val="0"/>
        <w:spacing w:after="0" w:line="240" w:lineRule="auto"/>
        <w:jc w:val="both"/>
        <w:rPr>
          <w:rFonts w:ascii="Marianne" w:hAnsi="Marianne" w:cs="Calibri"/>
          <w:color w:val="000000"/>
          <w:sz w:val="20"/>
        </w:rPr>
      </w:pPr>
    </w:p>
    <w:p w:rsidR="00691518" w:rsidRPr="00EA1946" w:rsidRDefault="00691518" w:rsidP="00691518">
      <w:pPr>
        <w:autoSpaceDE w:val="0"/>
        <w:autoSpaceDN w:val="0"/>
        <w:adjustRightInd w:val="0"/>
        <w:spacing w:after="0" w:line="240" w:lineRule="auto"/>
        <w:jc w:val="both"/>
        <w:rPr>
          <w:rFonts w:ascii="Marianne" w:hAnsi="Marianne" w:cs="Calibri"/>
          <w:color w:val="000000"/>
          <w:sz w:val="20"/>
        </w:rPr>
      </w:pPr>
      <w:r w:rsidRPr="00EA1946">
        <w:rPr>
          <w:rFonts w:ascii="Marianne" w:hAnsi="Marianne" w:cs="Calibri"/>
          <w:color w:val="000000"/>
          <w:sz w:val="20"/>
        </w:rPr>
        <w:t>En boulangerie, le jeune doit pouvoir participer à la fabrication de tous les pains. Cette condition d'octroi de la dérogation doit être appréciée en tenant compte de l'évolution du métier.</w:t>
      </w:r>
    </w:p>
    <w:p w:rsidR="00691518" w:rsidRPr="00EA1946" w:rsidRDefault="00691518" w:rsidP="00691518">
      <w:pPr>
        <w:autoSpaceDE w:val="0"/>
        <w:autoSpaceDN w:val="0"/>
        <w:adjustRightInd w:val="0"/>
        <w:spacing w:after="0" w:line="240" w:lineRule="auto"/>
        <w:jc w:val="both"/>
        <w:rPr>
          <w:rFonts w:ascii="Marianne" w:hAnsi="Marianne" w:cs="Calibri"/>
          <w:color w:val="000000"/>
          <w:sz w:val="20"/>
        </w:rPr>
      </w:pPr>
    </w:p>
    <w:p w:rsidR="00691518" w:rsidRPr="00EA1946" w:rsidRDefault="00691518" w:rsidP="00691518">
      <w:pPr>
        <w:autoSpaceDE w:val="0"/>
        <w:autoSpaceDN w:val="0"/>
        <w:adjustRightInd w:val="0"/>
        <w:spacing w:after="0" w:line="240" w:lineRule="auto"/>
        <w:jc w:val="both"/>
        <w:rPr>
          <w:rFonts w:ascii="Marianne" w:hAnsi="Marianne" w:cs="Calibri"/>
          <w:sz w:val="20"/>
        </w:rPr>
      </w:pPr>
      <w:r w:rsidRPr="00EA1946">
        <w:rPr>
          <w:rFonts w:ascii="Marianne" w:hAnsi="Marianne" w:cs="Calibri"/>
          <w:sz w:val="20"/>
        </w:rPr>
        <w:t>En pâtisserie, la notion de cycle complet de fabrication peut être définie comme suit :</w:t>
      </w:r>
    </w:p>
    <w:p w:rsidR="00691518" w:rsidRPr="0035166C" w:rsidRDefault="00691518" w:rsidP="0035166C">
      <w:pPr>
        <w:pStyle w:val="Paragraphedeliste"/>
        <w:numPr>
          <w:ilvl w:val="0"/>
          <w:numId w:val="3"/>
        </w:numPr>
        <w:autoSpaceDE w:val="0"/>
        <w:autoSpaceDN w:val="0"/>
        <w:adjustRightInd w:val="0"/>
        <w:spacing w:after="0" w:line="240" w:lineRule="auto"/>
        <w:jc w:val="both"/>
        <w:rPr>
          <w:rFonts w:ascii="Marianne" w:hAnsi="Marianne" w:cs="Calibri"/>
          <w:sz w:val="20"/>
        </w:rPr>
      </w:pPr>
      <w:proofErr w:type="gramStart"/>
      <w:r w:rsidRPr="0035166C">
        <w:rPr>
          <w:rFonts w:ascii="Marianne" w:hAnsi="Marianne" w:cs="Calibri"/>
          <w:sz w:val="20"/>
        </w:rPr>
        <w:t>établissement</w:t>
      </w:r>
      <w:proofErr w:type="gramEnd"/>
      <w:r w:rsidRPr="0035166C">
        <w:rPr>
          <w:rFonts w:ascii="Marianne" w:hAnsi="Marianne" w:cs="Calibri"/>
          <w:sz w:val="20"/>
        </w:rPr>
        <w:t xml:space="preserve"> dans lequel seul l’employeur (boulanger et pâtissier) peut former le jeune et démarre sa fabrication avant 6h entre 2 fournées de pain,</w:t>
      </w:r>
    </w:p>
    <w:p w:rsidR="00691518" w:rsidRPr="0035166C" w:rsidRDefault="00691518" w:rsidP="0035166C">
      <w:pPr>
        <w:pStyle w:val="Paragraphedeliste"/>
        <w:numPr>
          <w:ilvl w:val="0"/>
          <w:numId w:val="3"/>
        </w:numPr>
        <w:autoSpaceDE w:val="0"/>
        <w:autoSpaceDN w:val="0"/>
        <w:adjustRightInd w:val="0"/>
        <w:spacing w:after="0" w:line="240" w:lineRule="auto"/>
        <w:jc w:val="both"/>
        <w:rPr>
          <w:rFonts w:ascii="Marianne" w:hAnsi="Marianne" w:cs="Calibri"/>
          <w:sz w:val="20"/>
        </w:rPr>
      </w:pPr>
      <w:proofErr w:type="gramStart"/>
      <w:r w:rsidRPr="0035166C">
        <w:rPr>
          <w:rFonts w:ascii="Marianne" w:hAnsi="Marianne" w:cs="Calibri"/>
          <w:sz w:val="20"/>
        </w:rPr>
        <w:t>l’ouvrier</w:t>
      </w:r>
      <w:proofErr w:type="gramEnd"/>
      <w:r w:rsidRPr="0035166C">
        <w:rPr>
          <w:rFonts w:ascii="Marianne" w:hAnsi="Marianne" w:cs="Calibri"/>
          <w:sz w:val="20"/>
        </w:rPr>
        <w:t xml:space="preserve"> / maître d’apprentissage a, par choix, décidé de travailler avant 6h00,</w:t>
      </w:r>
    </w:p>
    <w:p w:rsidR="00691518" w:rsidRPr="0035166C" w:rsidRDefault="00691518" w:rsidP="0035166C">
      <w:pPr>
        <w:pStyle w:val="Paragraphedeliste"/>
        <w:numPr>
          <w:ilvl w:val="0"/>
          <w:numId w:val="3"/>
        </w:numPr>
        <w:autoSpaceDE w:val="0"/>
        <w:autoSpaceDN w:val="0"/>
        <w:adjustRightInd w:val="0"/>
        <w:spacing w:after="0" w:line="240" w:lineRule="auto"/>
        <w:jc w:val="both"/>
        <w:rPr>
          <w:rFonts w:ascii="Marianne" w:hAnsi="Marianne" w:cs="Calibri"/>
          <w:sz w:val="20"/>
        </w:rPr>
      </w:pPr>
      <w:proofErr w:type="gramStart"/>
      <w:r w:rsidRPr="0035166C">
        <w:rPr>
          <w:rFonts w:ascii="Marianne" w:hAnsi="Marianne" w:cs="Calibri"/>
          <w:sz w:val="20"/>
        </w:rPr>
        <w:t>l’employeur</w:t>
      </w:r>
      <w:proofErr w:type="gramEnd"/>
      <w:r w:rsidRPr="0035166C">
        <w:rPr>
          <w:rFonts w:ascii="Marianne" w:hAnsi="Marianne" w:cs="Calibri"/>
          <w:sz w:val="20"/>
        </w:rPr>
        <w:t xml:space="preserve"> établit et motive, dans sa demande, le fait que des pâtisseries sont, tous ou certains jours, préparées avant 6h00.</w:t>
      </w:r>
      <w:bookmarkStart w:id="0" w:name="_GoBack"/>
      <w:bookmarkEnd w:id="0"/>
    </w:p>
    <w:p w:rsidR="00EA1946" w:rsidRDefault="00EA1946" w:rsidP="00691518">
      <w:pPr>
        <w:autoSpaceDE w:val="0"/>
        <w:autoSpaceDN w:val="0"/>
        <w:adjustRightInd w:val="0"/>
        <w:spacing w:after="0" w:line="240" w:lineRule="auto"/>
        <w:jc w:val="both"/>
        <w:rPr>
          <w:rFonts w:ascii="Marianne" w:hAnsi="Marianne" w:cstheme="minorHAnsi"/>
        </w:rPr>
      </w:pPr>
    </w:p>
    <w:p w:rsidR="00EA1946" w:rsidRPr="00EA1946" w:rsidRDefault="00EA1946" w:rsidP="00EA1946">
      <w:pPr>
        <w:autoSpaceDE w:val="0"/>
        <w:autoSpaceDN w:val="0"/>
        <w:adjustRightInd w:val="0"/>
        <w:spacing w:after="0" w:line="240" w:lineRule="auto"/>
        <w:jc w:val="both"/>
        <w:rPr>
          <w:rFonts w:ascii="Marianne" w:hAnsi="Marianne" w:cstheme="minorHAnsi"/>
          <w:sz w:val="20"/>
        </w:rPr>
      </w:pPr>
      <w:r w:rsidRPr="00EA1946">
        <w:rPr>
          <w:rFonts w:ascii="Marianne" w:hAnsi="Marianne" w:cstheme="minorHAnsi"/>
          <w:b/>
          <w:bCs/>
          <w:sz w:val="20"/>
        </w:rPr>
        <w:t>Il s’agit d’une décision individuelle.</w:t>
      </w:r>
    </w:p>
    <w:p w:rsidR="00EA1946" w:rsidRDefault="00EA1946" w:rsidP="00EA1946">
      <w:pPr>
        <w:tabs>
          <w:tab w:val="left" w:pos="2444"/>
        </w:tabs>
        <w:rPr>
          <w:rFonts w:ascii="Marianne" w:hAnsi="Marianne" w:cstheme="minorHAnsi"/>
        </w:rPr>
      </w:pPr>
    </w:p>
    <w:p w:rsidR="00EA1946" w:rsidRDefault="00EA1946" w:rsidP="00EA1946">
      <w:pPr>
        <w:rPr>
          <w:rFonts w:ascii="Marianne" w:hAnsi="Marianne" w:cstheme="minorHAnsi"/>
        </w:rPr>
      </w:pPr>
    </w:p>
    <w:p w:rsidR="00B52264" w:rsidRPr="00EA1946" w:rsidRDefault="00B52264" w:rsidP="00EA1946">
      <w:pPr>
        <w:rPr>
          <w:rFonts w:ascii="Marianne" w:hAnsi="Marianne" w:cstheme="minorHAnsi"/>
        </w:rPr>
        <w:sectPr w:rsidR="00B52264" w:rsidRPr="00EA1946" w:rsidSect="00631A02">
          <w:headerReference w:type="default" r:id="rId10"/>
          <w:footerReference w:type="default" r:id="rId11"/>
          <w:pgSz w:w="11906" w:h="16838"/>
          <w:pgMar w:top="1418" w:right="992" w:bottom="425" w:left="992" w:header="709" w:footer="283" w:gutter="0"/>
          <w:cols w:space="708"/>
          <w:docGrid w:linePitch="360"/>
        </w:sectPr>
      </w:pPr>
    </w:p>
    <w:p w:rsidR="00240F14" w:rsidRPr="00EA1946" w:rsidRDefault="00691518" w:rsidP="0035166C">
      <w:pPr>
        <w:autoSpaceDE w:val="0"/>
        <w:autoSpaceDN w:val="0"/>
        <w:adjustRightInd w:val="0"/>
        <w:spacing w:after="120" w:line="240" w:lineRule="auto"/>
        <w:jc w:val="both"/>
        <w:rPr>
          <w:rFonts w:ascii="Marianne" w:hAnsi="Marianne" w:cs="Calibri"/>
          <w:color w:val="000000"/>
          <w:sz w:val="20"/>
        </w:rPr>
      </w:pPr>
      <w:r w:rsidRPr="00EA1946">
        <w:rPr>
          <w:rFonts w:ascii="Marianne" w:hAnsi="Marianne" w:cs="Calibri"/>
          <w:color w:val="000000"/>
          <w:sz w:val="20"/>
        </w:rPr>
        <w:lastRenderedPageBreak/>
        <w:t>Les jeunes boulangers travaillant régulièrement de nuit sont à cet égard des travailleurs de nuit, malgré les semai</w:t>
      </w:r>
      <w:r w:rsidR="00240F14" w:rsidRPr="00EA1946">
        <w:rPr>
          <w:rFonts w:ascii="Marianne" w:hAnsi="Marianne" w:cs="Calibri"/>
          <w:color w:val="000000"/>
          <w:sz w:val="20"/>
        </w:rPr>
        <w:t>nes de CFA.</w:t>
      </w:r>
    </w:p>
    <w:p w:rsidR="00691518" w:rsidRPr="00EA1946" w:rsidRDefault="00691518" w:rsidP="00691518">
      <w:pPr>
        <w:autoSpaceDE w:val="0"/>
        <w:autoSpaceDN w:val="0"/>
        <w:adjustRightInd w:val="0"/>
        <w:spacing w:after="0" w:line="240" w:lineRule="auto"/>
        <w:jc w:val="both"/>
        <w:rPr>
          <w:rFonts w:ascii="Marianne" w:hAnsi="Marianne" w:cs="Calibri"/>
          <w:color w:val="000000"/>
          <w:sz w:val="20"/>
        </w:rPr>
      </w:pPr>
      <w:r w:rsidRPr="00EA1946">
        <w:rPr>
          <w:rFonts w:ascii="Marianne" w:hAnsi="Marianne" w:cs="Calibri"/>
          <w:color w:val="000000"/>
          <w:sz w:val="20"/>
        </w:rPr>
        <w:t>En effet si l’on prend en compte deux heures par jour sur cinq jours dans la semaine, et une trentaine de semaines travaillées dans l’année, le jeune effectue plus des 270 h sur une période de douze mois consécutifs, fixées par les articles L. 3122.2 et L.3122-5 du code du travail.</w:t>
      </w:r>
    </w:p>
    <w:p w:rsidR="00691518" w:rsidRPr="00EA1946" w:rsidRDefault="00691518" w:rsidP="0035166C">
      <w:pPr>
        <w:autoSpaceDE w:val="0"/>
        <w:autoSpaceDN w:val="0"/>
        <w:adjustRightInd w:val="0"/>
        <w:spacing w:after="120" w:line="240" w:lineRule="auto"/>
        <w:jc w:val="both"/>
        <w:rPr>
          <w:rFonts w:ascii="Marianne" w:hAnsi="Marianne" w:cs="Calibri"/>
          <w:color w:val="000000"/>
          <w:sz w:val="20"/>
        </w:rPr>
      </w:pPr>
      <w:r w:rsidRPr="00EA1946">
        <w:rPr>
          <w:rFonts w:ascii="Marianne" w:hAnsi="Marianne" w:cs="Calibri"/>
          <w:color w:val="000000"/>
          <w:sz w:val="20"/>
        </w:rPr>
        <w:t>Dès lors ils doivent bénéficier des contreparties définies à l’article L.3122.8 (compensation en repos et, le cas échéant, compensation salariale). La compensation salariale est prévue par la convention collective ou l’accord collectif.</w:t>
      </w:r>
    </w:p>
    <w:p w:rsidR="00691518" w:rsidRPr="00EA1946" w:rsidRDefault="00691518" w:rsidP="00691518">
      <w:pPr>
        <w:autoSpaceDE w:val="0"/>
        <w:autoSpaceDN w:val="0"/>
        <w:adjustRightInd w:val="0"/>
        <w:spacing w:after="0" w:line="240" w:lineRule="auto"/>
        <w:jc w:val="both"/>
        <w:rPr>
          <w:rFonts w:ascii="Marianne" w:hAnsi="Marianne" w:cs="Calibri"/>
          <w:color w:val="000000"/>
          <w:sz w:val="20"/>
        </w:rPr>
      </w:pPr>
      <w:r w:rsidRPr="00EA1946">
        <w:rPr>
          <w:rFonts w:ascii="Marianne" w:hAnsi="Marianne" w:cs="Calibri"/>
          <w:color w:val="000000"/>
          <w:sz w:val="20"/>
        </w:rPr>
        <w:t>Le respect de ces contreparties conditionne donc la délivrance de la dérogation par l’agent de   contrôle. En outre, l’absence de toute contrepartie en repos interdit la dérogation. En effet, en l’absence de dispositions conventionnelles, il appartient à l’employeur de définir cette contrepartie en repos.</w:t>
      </w:r>
    </w:p>
    <w:p w:rsidR="00691518" w:rsidRDefault="00691518" w:rsidP="00EA1946">
      <w:pPr>
        <w:autoSpaceDE w:val="0"/>
        <w:autoSpaceDN w:val="0"/>
        <w:adjustRightInd w:val="0"/>
        <w:spacing w:before="120" w:after="0" w:line="240" w:lineRule="auto"/>
        <w:jc w:val="both"/>
        <w:rPr>
          <w:rFonts w:ascii="Marianne" w:hAnsi="Marianne" w:cs="Calibri"/>
          <w:color w:val="000000"/>
          <w:sz w:val="20"/>
        </w:rPr>
      </w:pPr>
      <w:r w:rsidRPr="00EA1946">
        <w:rPr>
          <w:rFonts w:ascii="Marianne" w:hAnsi="Marianne" w:cs="Calibri"/>
          <w:color w:val="000000"/>
          <w:sz w:val="20"/>
        </w:rPr>
        <w:t>L’avenant n°81 du 21 décembre 2005 (étendu par arrêté du 12 juillet 2006) à la CCN boulangeries-pâtisseries entreprises artisanales, prévoit une contrepartie en repos, pour les boulangeries ou boulangeries-pâtisseries, d’une journée si le travailleur de nuit effectue au moins 270 h dans l’année civile ou 2 jours s’il effectue plus de 600 heures.</w:t>
      </w:r>
    </w:p>
    <w:p w:rsidR="0035166C" w:rsidRPr="00EA1946" w:rsidRDefault="0035166C" w:rsidP="00EA1946">
      <w:pPr>
        <w:autoSpaceDE w:val="0"/>
        <w:autoSpaceDN w:val="0"/>
        <w:adjustRightInd w:val="0"/>
        <w:spacing w:before="120" w:after="0" w:line="240" w:lineRule="auto"/>
        <w:jc w:val="both"/>
        <w:rPr>
          <w:rFonts w:ascii="Marianne" w:hAnsi="Marianne" w:cs="Calibri"/>
          <w:color w:val="000000"/>
          <w:sz w:val="20"/>
        </w:rPr>
      </w:pPr>
    </w:p>
    <w:p w:rsidR="00EA1946" w:rsidRPr="00EA1946" w:rsidRDefault="00EA1946" w:rsidP="00EA1946">
      <w:pPr>
        <w:autoSpaceDE w:val="0"/>
        <w:autoSpaceDN w:val="0"/>
        <w:adjustRightInd w:val="0"/>
        <w:spacing w:after="0" w:line="240" w:lineRule="auto"/>
        <w:ind w:left="360"/>
        <w:jc w:val="both"/>
        <w:rPr>
          <w:rFonts w:ascii="Marianne" w:hAnsi="Marianne" w:cstheme="minorHAnsi"/>
          <w:b/>
          <w:bCs/>
          <w:sz w:val="32"/>
        </w:rPr>
      </w:pPr>
      <w:r>
        <w:rPr>
          <w:rFonts w:ascii="Marianne" w:hAnsi="Marianne"/>
          <w:b/>
          <w:color w:val="800080"/>
          <w:sz w:val="32"/>
          <w:szCs w:val="28"/>
        </w:rPr>
        <w:t>B – Restauration et hôtellerie</w:t>
      </w:r>
      <w:r w:rsidRPr="00EA1946">
        <w:rPr>
          <w:rFonts w:ascii="Marianne" w:hAnsi="Marianne" w:cstheme="minorHAnsi"/>
          <w:b/>
          <w:bCs/>
          <w:sz w:val="32"/>
        </w:rPr>
        <w:t> :</w:t>
      </w:r>
    </w:p>
    <w:p w:rsidR="00EA1946" w:rsidRPr="00631A02" w:rsidRDefault="00EA1946" w:rsidP="00691518">
      <w:pPr>
        <w:autoSpaceDE w:val="0"/>
        <w:autoSpaceDN w:val="0"/>
        <w:adjustRightInd w:val="0"/>
        <w:spacing w:after="0" w:line="240" w:lineRule="auto"/>
        <w:jc w:val="both"/>
        <w:rPr>
          <w:rFonts w:ascii="Marianne" w:hAnsi="Marianne" w:cs="Calibri"/>
          <w:color w:val="000000"/>
        </w:rPr>
      </w:pPr>
    </w:p>
    <w:p w:rsidR="00240F14" w:rsidRPr="00EA1946" w:rsidRDefault="00E6176A" w:rsidP="00240F14">
      <w:pPr>
        <w:autoSpaceDE w:val="0"/>
        <w:autoSpaceDN w:val="0"/>
        <w:adjustRightInd w:val="0"/>
        <w:spacing w:after="0" w:line="240" w:lineRule="auto"/>
        <w:jc w:val="both"/>
        <w:rPr>
          <w:rFonts w:ascii="Marianne" w:hAnsi="Marianne" w:cstheme="minorHAnsi"/>
          <w:sz w:val="20"/>
        </w:rPr>
      </w:pPr>
      <w:r w:rsidRPr="00EA1946">
        <w:rPr>
          <w:rFonts w:ascii="Marianne" w:hAnsi="Marianne" w:cstheme="minorHAnsi"/>
          <w:sz w:val="20"/>
        </w:rPr>
        <w:t>La</w:t>
      </w:r>
      <w:r w:rsidR="00240F14" w:rsidRPr="00EA1946">
        <w:rPr>
          <w:rFonts w:ascii="Marianne" w:hAnsi="Marianne" w:cstheme="minorHAnsi"/>
          <w:sz w:val="20"/>
        </w:rPr>
        <w:t xml:space="preserve"> dérogation ne peut être accordée aux jeunes de moins de 16 ans et que seul le travail de 22h00 à 23h30 peut être autorisé pour les jeunes travailleurs et apprentis de 16 à 18 ans.</w:t>
      </w:r>
    </w:p>
    <w:p w:rsidR="00240F14" w:rsidRPr="00EA1946" w:rsidRDefault="00240F14" w:rsidP="00EA1946">
      <w:pPr>
        <w:autoSpaceDE w:val="0"/>
        <w:autoSpaceDN w:val="0"/>
        <w:adjustRightInd w:val="0"/>
        <w:spacing w:before="120" w:after="0" w:line="240" w:lineRule="auto"/>
        <w:jc w:val="both"/>
        <w:rPr>
          <w:rFonts w:ascii="Marianne" w:hAnsi="Marianne" w:cstheme="minorHAnsi"/>
          <w:iCs/>
          <w:sz w:val="20"/>
        </w:rPr>
      </w:pPr>
      <w:r w:rsidRPr="00EA1946">
        <w:rPr>
          <w:rFonts w:ascii="Marianne" w:hAnsi="Marianne" w:cstheme="minorHAnsi"/>
          <w:iCs/>
          <w:sz w:val="20"/>
        </w:rPr>
        <w:t>L’avenant n°1 du 13 juillet 2004 à la CCN des HCR qui avait défini une période de travail de nuit (de 22h à 7h) et un décompte annuel de 280 heures (au lieu de 270h) a été annulé par un arrêt du Conseil d’Etat en date du 18 octobre 2006.</w:t>
      </w:r>
    </w:p>
    <w:p w:rsidR="00240F14" w:rsidRPr="00EA1946" w:rsidRDefault="00240F14" w:rsidP="00EA1946">
      <w:pPr>
        <w:autoSpaceDE w:val="0"/>
        <w:autoSpaceDN w:val="0"/>
        <w:adjustRightInd w:val="0"/>
        <w:spacing w:before="120" w:after="0" w:line="240" w:lineRule="auto"/>
        <w:jc w:val="both"/>
        <w:rPr>
          <w:rFonts w:ascii="Marianne" w:hAnsi="Marianne" w:cstheme="minorHAnsi"/>
          <w:iCs/>
          <w:sz w:val="20"/>
        </w:rPr>
      </w:pPr>
      <w:r w:rsidRPr="00EA1946">
        <w:rPr>
          <w:rFonts w:ascii="Marianne" w:hAnsi="Marianne" w:cstheme="minorHAnsi"/>
          <w:iCs/>
          <w:sz w:val="20"/>
        </w:rPr>
        <w:t>C’est donc le droit commun qui s’applique et les règles mentionnées plus haut : travail de nuit 21h-23h30 ; travailleurs de nuit : 270 h/an ; suivi médical adapté visé au R 3122-13 du code du travail.</w:t>
      </w:r>
    </w:p>
    <w:p w:rsidR="00691518" w:rsidRPr="00EA1946" w:rsidRDefault="00691518" w:rsidP="00691518">
      <w:pPr>
        <w:autoSpaceDE w:val="0"/>
        <w:autoSpaceDN w:val="0"/>
        <w:adjustRightInd w:val="0"/>
        <w:spacing w:after="0" w:line="240" w:lineRule="auto"/>
        <w:rPr>
          <w:rFonts w:ascii="Marianne" w:hAnsi="Marianne" w:cs="Calibri"/>
          <w:color w:val="000000"/>
          <w:sz w:val="20"/>
        </w:rPr>
      </w:pPr>
    </w:p>
    <w:p w:rsidR="00EA1946" w:rsidRPr="00EA1946" w:rsidRDefault="00EA1946" w:rsidP="00EA1946">
      <w:pPr>
        <w:autoSpaceDE w:val="0"/>
        <w:autoSpaceDN w:val="0"/>
        <w:adjustRightInd w:val="0"/>
        <w:spacing w:after="0" w:line="240" w:lineRule="auto"/>
        <w:ind w:left="360"/>
        <w:jc w:val="both"/>
        <w:rPr>
          <w:rFonts w:ascii="Marianne" w:hAnsi="Marianne" w:cstheme="minorHAnsi"/>
          <w:b/>
          <w:bCs/>
          <w:sz w:val="32"/>
        </w:rPr>
      </w:pPr>
      <w:r>
        <w:rPr>
          <w:rFonts w:ascii="Marianne" w:hAnsi="Marianne"/>
          <w:b/>
          <w:color w:val="800080"/>
          <w:sz w:val="32"/>
          <w:szCs w:val="28"/>
        </w:rPr>
        <w:t xml:space="preserve">C </w:t>
      </w:r>
      <w:r w:rsidRPr="00EA1946">
        <w:rPr>
          <w:rFonts w:ascii="Marianne" w:hAnsi="Marianne"/>
          <w:b/>
          <w:color w:val="800080"/>
          <w:sz w:val="32"/>
          <w:szCs w:val="28"/>
        </w:rPr>
        <w:t>-</w:t>
      </w:r>
      <w:r>
        <w:rPr>
          <w:rFonts w:ascii="Marianne" w:hAnsi="Marianne"/>
          <w:b/>
          <w:color w:val="800080"/>
          <w:sz w:val="32"/>
          <w:szCs w:val="28"/>
        </w:rPr>
        <w:t xml:space="preserve"> Conditions</w:t>
      </w:r>
      <w:r w:rsidRPr="00EA1946">
        <w:rPr>
          <w:rFonts w:ascii="Marianne" w:hAnsi="Marianne" w:cstheme="minorHAnsi"/>
          <w:b/>
          <w:bCs/>
          <w:sz w:val="32"/>
        </w:rPr>
        <w:t> :</w:t>
      </w:r>
    </w:p>
    <w:p w:rsidR="00EA1946" w:rsidRPr="00631A02" w:rsidRDefault="00EA1946" w:rsidP="00691518">
      <w:pPr>
        <w:autoSpaceDE w:val="0"/>
        <w:autoSpaceDN w:val="0"/>
        <w:adjustRightInd w:val="0"/>
        <w:spacing w:after="0" w:line="240" w:lineRule="auto"/>
        <w:rPr>
          <w:rFonts w:ascii="Marianne" w:hAnsi="Marianne" w:cs="Calibri"/>
          <w:color w:val="000000"/>
        </w:rPr>
      </w:pPr>
    </w:p>
    <w:p w:rsidR="008460DA" w:rsidRPr="00EA1946" w:rsidRDefault="0059572D" w:rsidP="0059572D">
      <w:pPr>
        <w:pStyle w:val="Paragraphedeliste"/>
        <w:numPr>
          <w:ilvl w:val="0"/>
          <w:numId w:val="2"/>
        </w:numPr>
        <w:autoSpaceDE w:val="0"/>
        <w:autoSpaceDN w:val="0"/>
        <w:adjustRightInd w:val="0"/>
        <w:spacing w:after="0" w:line="240" w:lineRule="auto"/>
        <w:jc w:val="both"/>
        <w:rPr>
          <w:rFonts w:ascii="Marianne" w:hAnsi="Marianne" w:cs="Calibri"/>
          <w:b/>
          <w:i/>
          <w:color w:val="385623" w:themeColor="accent6" w:themeShade="80"/>
        </w:rPr>
      </w:pPr>
      <w:r w:rsidRPr="00EA1946">
        <w:rPr>
          <w:rFonts w:ascii="Marianne" w:hAnsi="Marianne" w:cs="Calibri"/>
          <w:b/>
          <w:i/>
          <w:color w:val="385623" w:themeColor="accent6" w:themeShade="80"/>
        </w:rPr>
        <w:t xml:space="preserve">Présence effective du maître d’apprentissage : R. 6222-25 du code du travail </w:t>
      </w:r>
    </w:p>
    <w:p w:rsidR="0059572D" w:rsidRPr="00EA1946" w:rsidRDefault="0059572D" w:rsidP="004A6C05">
      <w:pPr>
        <w:autoSpaceDE w:val="0"/>
        <w:autoSpaceDN w:val="0"/>
        <w:adjustRightInd w:val="0"/>
        <w:spacing w:after="0" w:line="240" w:lineRule="auto"/>
        <w:jc w:val="both"/>
        <w:rPr>
          <w:rFonts w:ascii="Marianne" w:hAnsi="Marianne" w:cs="Calibri"/>
          <w:sz w:val="20"/>
        </w:rPr>
      </w:pPr>
    </w:p>
    <w:p w:rsidR="00E6176A" w:rsidRPr="00EA1946" w:rsidRDefault="00E6176A" w:rsidP="00E6176A">
      <w:pPr>
        <w:autoSpaceDE w:val="0"/>
        <w:autoSpaceDN w:val="0"/>
        <w:adjustRightInd w:val="0"/>
        <w:spacing w:after="0" w:line="240" w:lineRule="auto"/>
        <w:jc w:val="both"/>
        <w:rPr>
          <w:rFonts w:ascii="Marianne" w:hAnsi="Marianne" w:cs="Calibri"/>
          <w:sz w:val="20"/>
        </w:rPr>
      </w:pPr>
      <w:r w:rsidRPr="00EA1946">
        <w:rPr>
          <w:rFonts w:ascii="Marianne" w:hAnsi="Marianne" w:cs="Calibri"/>
          <w:sz w:val="20"/>
        </w:rPr>
        <w:t xml:space="preserve">Le travail de nuit des jeunes apprentis ne peut être effectué que sous la responsabilité </w:t>
      </w:r>
      <w:r w:rsidRPr="00EA1946">
        <w:rPr>
          <w:rFonts w:ascii="Marianne" w:hAnsi="Marianne" w:cs="Calibri-Bold"/>
          <w:b/>
          <w:bCs/>
          <w:sz w:val="20"/>
        </w:rPr>
        <w:t xml:space="preserve">effective </w:t>
      </w:r>
      <w:r w:rsidRPr="00EA1946">
        <w:rPr>
          <w:rFonts w:ascii="Marianne" w:hAnsi="Marianne" w:cs="Calibri"/>
          <w:sz w:val="20"/>
        </w:rPr>
        <w:t>du maître d’apprentissage, à défaut la dérogation doit être refusée.</w:t>
      </w:r>
    </w:p>
    <w:p w:rsidR="004A6C05" w:rsidRPr="00EA1946" w:rsidRDefault="00E6176A" w:rsidP="00EA1946">
      <w:pPr>
        <w:autoSpaceDE w:val="0"/>
        <w:autoSpaceDN w:val="0"/>
        <w:adjustRightInd w:val="0"/>
        <w:spacing w:before="120" w:after="0" w:line="240" w:lineRule="auto"/>
        <w:jc w:val="both"/>
        <w:rPr>
          <w:rFonts w:ascii="Marianne" w:hAnsi="Marianne" w:cs="Calibri"/>
          <w:sz w:val="20"/>
        </w:rPr>
      </w:pPr>
      <w:r w:rsidRPr="00EA1946">
        <w:rPr>
          <w:rFonts w:ascii="Marianne" w:hAnsi="Marianne" w:cs="Calibri"/>
          <w:sz w:val="20"/>
        </w:rPr>
        <w:t>Cette disposition impose que l’employeur prenne toutes mesures pour assurer l’encadrement de l’apprenti notamment pendant les périodes d’absence du maître d’apprentissage en désignant une nouvelle personne dotée des compétences et de l’expérience nécessaires à cette suppléance.</w:t>
      </w:r>
    </w:p>
    <w:p w:rsidR="00E6176A" w:rsidRPr="00EA1946" w:rsidRDefault="00E6176A" w:rsidP="00E6176A">
      <w:pPr>
        <w:autoSpaceDE w:val="0"/>
        <w:autoSpaceDN w:val="0"/>
        <w:adjustRightInd w:val="0"/>
        <w:spacing w:after="0" w:line="240" w:lineRule="auto"/>
        <w:jc w:val="both"/>
        <w:rPr>
          <w:rFonts w:ascii="Marianne" w:hAnsi="Marianne" w:cs="Calibri"/>
          <w:sz w:val="20"/>
        </w:rPr>
      </w:pPr>
    </w:p>
    <w:p w:rsidR="00E6176A" w:rsidRPr="00EA1946" w:rsidRDefault="00E6176A" w:rsidP="00E6176A">
      <w:pPr>
        <w:pStyle w:val="Paragraphedeliste"/>
        <w:numPr>
          <w:ilvl w:val="0"/>
          <w:numId w:val="2"/>
        </w:numPr>
        <w:autoSpaceDE w:val="0"/>
        <w:autoSpaceDN w:val="0"/>
        <w:adjustRightInd w:val="0"/>
        <w:spacing w:after="0" w:line="240" w:lineRule="auto"/>
        <w:jc w:val="both"/>
        <w:rPr>
          <w:rFonts w:ascii="Marianne" w:hAnsi="Marianne" w:cs="Calibri"/>
          <w:b/>
          <w:i/>
          <w:color w:val="385623" w:themeColor="accent6" w:themeShade="80"/>
        </w:rPr>
      </w:pPr>
      <w:r w:rsidRPr="00EA1946">
        <w:rPr>
          <w:rFonts w:ascii="Marianne" w:hAnsi="Marianne" w:cs="Calibri"/>
          <w:b/>
          <w:i/>
          <w:color w:val="385623" w:themeColor="accent6" w:themeShade="80"/>
        </w:rPr>
        <w:t>Avis du médecin du travail :</w:t>
      </w:r>
    </w:p>
    <w:p w:rsidR="00E6176A" w:rsidRPr="00EA1946" w:rsidRDefault="00E6176A" w:rsidP="00E6176A">
      <w:pPr>
        <w:autoSpaceDE w:val="0"/>
        <w:autoSpaceDN w:val="0"/>
        <w:adjustRightInd w:val="0"/>
        <w:spacing w:after="0" w:line="240" w:lineRule="auto"/>
        <w:jc w:val="both"/>
        <w:rPr>
          <w:rFonts w:ascii="Marianne" w:hAnsi="Marianne" w:cs="Calibri"/>
          <w:sz w:val="20"/>
        </w:rPr>
      </w:pPr>
    </w:p>
    <w:p w:rsidR="00E6176A" w:rsidRPr="00EA1946" w:rsidRDefault="00E6176A" w:rsidP="00E6176A">
      <w:pPr>
        <w:autoSpaceDE w:val="0"/>
        <w:autoSpaceDN w:val="0"/>
        <w:adjustRightInd w:val="0"/>
        <w:spacing w:after="0" w:line="240" w:lineRule="auto"/>
        <w:jc w:val="both"/>
        <w:rPr>
          <w:rFonts w:ascii="Marianne" w:hAnsi="Marianne" w:cs="Calibri"/>
          <w:sz w:val="20"/>
        </w:rPr>
      </w:pPr>
      <w:r w:rsidRPr="00EA1946">
        <w:rPr>
          <w:rFonts w:ascii="Marianne" w:hAnsi="Marianne" w:cs="Calibri"/>
          <w:sz w:val="20"/>
        </w:rPr>
        <w:t>Notion de</w:t>
      </w:r>
      <w:r w:rsidR="00224A3D" w:rsidRPr="00EA1946">
        <w:rPr>
          <w:rFonts w:ascii="Marianne" w:hAnsi="Marianne" w:cs="Calibri"/>
          <w:sz w:val="20"/>
        </w:rPr>
        <w:t xml:space="preserve"> travailleur de nuit à vérifier pour la nécessité d’un avis conforme du médecin du travail.</w:t>
      </w:r>
    </w:p>
    <w:p w:rsidR="005B6089" w:rsidRPr="00EA1946" w:rsidRDefault="005B6089" w:rsidP="00E6176A">
      <w:pPr>
        <w:autoSpaceDE w:val="0"/>
        <w:autoSpaceDN w:val="0"/>
        <w:adjustRightInd w:val="0"/>
        <w:spacing w:after="0" w:line="240" w:lineRule="auto"/>
        <w:jc w:val="both"/>
        <w:rPr>
          <w:rFonts w:ascii="Marianne" w:hAnsi="Marianne" w:cs="Calibri"/>
          <w:sz w:val="20"/>
        </w:rPr>
      </w:pPr>
    </w:p>
    <w:p w:rsidR="005B6089" w:rsidRPr="00EA1946" w:rsidRDefault="005B6089" w:rsidP="005B6089">
      <w:pPr>
        <w:pStyle w:val="Paragraphedeliste"/>
        <w:numPr>
          <w:ilvl w:val="0"/>
          <w:numId w:val="2"/>
        </w:numPr>
        <w:autoSpaceDE w:val="0"/>
        <w:autoSpaceDN w:val="0"/>
        <w:adjustRightInd w:val="0"/>
        <w:spacing w:after="0" w:line="240" w:lineRule="auto"/>
        <w:jc w:val="both"/>
        <w:rPr>
          <w:rFonts w:ascii="Marianne" w:hAnsi="Marianne" w:cs="Calibri"/>
          <w:b/>
          <w:i/>
          <w:color w:val="385623" w:themeColor="accent6" w:themeShade="80"/>
        </w:rPr>
      </w:pPr>
      <w:r w:rsidRPr="00EA1946">
        <w:rPr>
          <w:rFonts w:ascii="Marianne" w:hAnsi="Marianne" w:cs="Calibri"/>
          <w:b/>
          <w:i/>
          <w:color w:val="385623" w:themeColor="accent6" w:themeShade="80"/>
        </w:rPr>
        <w:t>Les effets du non-respect par l’employeur de ses engagements sur les conditions d’emploi du jeune :</w:t>
      </w:r>
    </w:p>
    <w:p w:rsidR="005B6089" w:rsidRPr="00EA1946" w:rsidRDefault="005B6089" w:rsidP="005B6089">
      <w:pPr>
        <w:autoSpaceDE w:val="0"/>
        <w:autoSpaceDN w:val="0"/>
        <w:adjustRightInd w:val="0"/>
        <w:spacing w:after="0" w:line="240" w:lineRule="auto"/>
        <w:jc w:val="both"/>
        <w:rPr>
          <w:rFonts w:ascii="Marianne" w:hAnsi="Marianne" w:cs="Calibri"/>
          <w:sz w:val="20"/>
        </w:rPr>
      </w:pPr>
    </w:p>
    <w:p w:rsidR="005B6089" w:rsidRDefault="00E666D4" w:rsidP="00E666D4">
      <w:pPr>
        <w:autoSpaceDE w:val="0"/>
        <w:autoSpaceDN w:val="0"/>
        <w:adjustRightInd w:val="0"/>
        <w:spacing w:after="0" w:line="240" w:lineRule="auto"/>
        <w:jc w:val="both"/>
        <w:rPr>
          <w:rFonts w:ascii="Marianne" w:hAnsi="Marianne" w:cs="Calibri"/>
          <w:sz w:val="20"/>
        </w:rPr>
      </w:pPr>
      <w:r w:rsidRPr="00EA1946">
        <w:rPr>
          <w:rFonts w:ascii="Marianne" w:hAnsi="Marianne" w:cs="Calibri"/>
          <w:sz w:val="20"/>
        </w:rPr>
        <w:t>Le bénéfice de la dérogation au travail de nuit est subordonné au respect, dans le temps, des prescriptions minimales.</w:t>
      </w:r>
    </w:p>
    <w:p w:rsidR="00EA1946" w:rsidRPr="00EA1946" w:rsidRDefault="00EA1946" w:rsidP="00E666D4">
      <w:pPr>
        <w:autoSpaceDE w:val="0"/>
        <w:autoSpaceDN w:val="0"/>
        <w:adjustRightInd w:val="0"/>
        <w:spacing w:after="0" w:line="240" w:lineRule="auto"/>
        <w:jc w:val="both"/>
        <w:rPr>
          <w:rFonts w:ascii="Marianne" w:hAnsi="Marianne" w:cs="Calibri"/>
          <w:sz w:val="20"/>
        </w:rPr>
      </w:pPr>
    </w:p>
    <w:sectPr w:rsidR="00EA1946" w:rsidRPr="00EA1946" w:rsidSect="0035166C">
      <w:headerReference w:type="default" r:id="rId12"/>
      <w:pgSz w:w="11906" w:h="16838"/>
      <w:pgMar w:top="1134" w:right="992" w:bottom="425" w:left="992"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A02" w:rsidRDefault="00631A02" w:rsidP="00631A02">
      <w:pPr>
        <w:spacing w:after="0" w:line="240" w:lineRule="auto"/>
      </w:pPr>
      <w:r>
        <w:separator/>
      </w:r>
    </w:p>
  </w:endnote>
  <w:endnote w:type="continuationSeparator" w:id="0">
    <w:p w:rsidR="00631A02" w:rsidRDefault="00631A02" w:rsidP="0063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ExtraBold">
    <w:panose1 w:val="02000000000000000000"/>
    <w:charset w:val="00"/>
    <w:family w:val="auto"/>
    <w:pitch w:val="variable"/>
    <w:sig w:usb0="0000000F" w:usb1="00000000" w:usb2="00000000" w:usb3="00000000" w:csb0="00000003"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946" w:rsidRPr="00EA1946" w:rsidRDefault="00EA1946" w:rsidP="00EA1946">
    <w:pPr>
      <w:tabs>
        <w:tab w:val="left" w:pos="2908"/>
        <w:tab w:val="left" w:pos="7938"/>
      </w:tabs>
      <w:ind w:left="-142"/>
      <w:rPr>
        <w:rFonts w:ascii="Marianne" w:hAnsi="Marianne"/>
        <w:b/>
        <w:sz w:val="16"/>
        <w:szCs w:val="18"/>
      </w:rPr>
    </w:pPr>
    <w:r w:rsidRPr="00364477">
      <w:rPr>
        <w:rFonts w:ascii="Marianne" w:hAnsi="Marianne"/>
        <w:b/>
        <w:noProof/>
        <w:sz w:val="18"/>
        <w:szCs w:val="18"/>
        <w:lang w:eastAsia="fr-FR"/>
      </w:rPr>
      <w:drawing>
        <wp:anchor distT="0" distB="0" distL="114300" distR="114300" simplePos="0" relativeHeight="251661312" behindDoc="1" locked="0" layoutInCell="1" allowOverlap="1" wp14:anchorId="4AE70320" wp14:editId="1B6FCA1B">
          <wp:simplePos x="0" y="0"/>
          <wp:positionH relativeFrom="column">
            <wp:posOffset>5154930</wp:posOffset>
          </wp:positionH>
          <wp:positionV relativeFrom="paragraph">
            <wp:posOffset>-52070</wp:posOffset>
          </wp:positionV>
          <wp:extent cx="1162685" cy="359410"/>
          <wp:effectExtent l="0" t="0" r="0" b="2540"/>
          <wp:wrapThrough wrapText="bothSides">
            <wp:wrapPolygon edited="0">
              <wp:start x="0" y="0"/>
              <wp:lineTo x="0" y="20608"/>
              <wp:lineTo x="21234" y="20608"/>
              <wp:lineTo x="2123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eets_grand_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685" cy="359410"/>
                  </a:xfrm>
                  <a:prstGeom prst="rect">
                    <a:avLst/>
                  </a:prstGeom>
                </pic:spPr>
              </pic:pic>
            </a:graphicData>
          </a:graphic>
          <wp14:sizeRelH relativeFrom="margin">
            <wp14:pctWidth>0</wp14:pctWidth>
          </wp14:sizeRelH>
          <wp14:sizeRelV relativeFrom="margin">
            <wp14:pctHeight>0</wp14:pctHeight>
          </wp14:sizeRelV>
        </wp:anchor>
      </w:drawing>
    </w:r>
    <w:r w:rsidRPr="00364477">
      <w:rPr>
        <w:noProof/>
        <w:lang w:eastAsia="fr-FR"/>
      </w:rPr>
      <w:drawing>
        <wp:inline distT="0" distB="0" distL="0" distR="0" wp14:anchorId="2AA91B5E" wp14:editId="348BA969">
          <wp:extent cx="3105150" cy="3143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10515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A02" w:rsidRDefault="00631A02" w:rsidP="00631A02">
      <w:pPr>
        <w:spacing w:after="0" w:line="240" w:lineRule="auto"/>
      </w:pPr>
      <w:r>
        <w:separator/>
      </w:r>
    </w:p>
  </w:footnote>
  <w:footnote w:type="continuationSeparator" w:id="0">
    <w:p w:rsidR="00631A02" w:rsidRDefault="00631A02" w:rsidP="00631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02" w:rsidRPr="00364477" w:rsidRDefault="00631A02" w:rsidP="00631A02">
    <w:pPr>
      <w:pBdr>
        <w:left w:val="single" w:sz="4" w:space="4" w:color="auto"/>
      </w:pBdr>
      <w:tabs>
        <w:tab w:val="left" w:pos="2268"/>
        <w:tab w:val="right" w:pos="9072"/>
      </w:tabs>
      <w:spacing w:after="0" w:line="240" w:lineRule="auto"/>
      <w:ind w:left="2268"/>
      <w:jc w:val="both"/>
      <w:rPr>
        <w:rFonts w:ascii="Marianne" w:hAnsi="Marianne"/>
        <w:b/>
        <w:sz w:val="16"/>
      </w:rPr>
    </w:pPr>
    <w:r>
      <w:rPr>
        <w:noProof/>
        <w:lang w:eastAsia="fr-FR"/>
      </w:rPr>
      <w:drawing>
        <wp:anchor distT="0" distB="0" distL="114300" distR="114300" simplePos="0" relativeHeight="251659264" behindDoc="1" locked="0" layoutInCell="1" allowOverlap="1" wp14:anchorId="4B1EEC6B" wp14:editId="7C6096EA">
          <wp:simplePos x="0" y="0"/>
          <wp:positionH relativeFrom="column">
            <wp:posOffset>-87943</wp:posOffset>
          </wp:positionH>
          <wp:positionV relativeFrom="paragraph">
            <wp:posOffset>-234315</wp:posOffset>
          </wp:positionV>
          <wp:extent cx="1514475" cy="1162050"/>
          <wp:effectExtent l="0" t="0" r="0" b="0"/>
          <wp:wrapNone/>
          <wp:docPr id="7" name="Image 2" descr="8BBB23D"/>
          <wp:cNvGraphicFramePr/>
          <a:graphic xmlns:a="http://schemas.openxmlformats.org/drawingml/2006/main">
            <a:graphicData uri="http://schemas.openxmlformats.org/drawingml/2006/picture">
              <pic:pic xmlns:pic="http://schemas.openxmlformats.org/drawingml/2006/picture">
                <pic:nvPicPr>
                  <pic:cNvPr id="1" name="Image 2" descr="8BBB23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477">
      <w:rPr>
        <w:rFonts w:ascii="Marianne" w:hAnsi="Marianne"/>
        <w:b/>
        <w:sz w:val="16"/>
      </w:rPr>
      <w:t>Direction régionale</w:t>
    </w:r>
  </w:p>
  <w:p w:rsidR="00631A02" w:rsidRPr="00364477" w:rsidRDefault="00631A02" w:rsidP="00631A02">
    <w:pPr>
      <w:pBdr>
        <w:left w:val="single" w:sz="4" w:space="4" w:color="auto"/>
      </w:pBdr>
      <w:tabs>
        <w:tab w:val="left" w:pos="2268"/>
        <w:tab w:val="right" w:pos="9072"/>
      </w:tabs>
      <w:spacing w:after="0" w:line="240" w:lineRule="auto"/>
      <w:ind w:left="2268"/>
      <w:jc w:val="both"/>
      <w:rPr>
        <w:rFonts w:ascii="Marianne" w:hAnsi="Marianne"/>
        <w:b/>
        <w:sz w:val="16"/>
      </w:rPr>
    </w:pPr>
    <w:proofErr w:type="gramStart"/>
    <w:r w:rsidRPr="00364477">
      <w:rPr>
        <w:rFonts w:ascii="Marianne" w:hAnsi="Marianne"/>
        <w:b/>
        <w:sz w:val="16"/>
      </w:rPr>
      <w:t>de</w:t>
    </w:r>
    <w:proofErr w:type="gramEnd"/>
    <w:r w:rsidRPr="00364477">
      <w:rPr>
        <w:rFonts w:ascii="Marianne" w:hAnsi="Marianne"/>
        <w:b/>
        <w:sz w:val="16"/>
      </w:rPr>
      <w:t xml:space="preserve"> l’économie, de l’emploi</w:t>
    </w:r>
  </w:p>
  <w:p w:rsidR="00631A02" w:rsidRPr="00364477" w:rsidRDefault="00631A02" w:rsidP="00631A02">
    <w:pPr>
      <w:pBdr>
        <w:left w:val="single" w:sz="4" w:space="4" w:color="auto"/>
      </w:pBdr>
      <w:tabs>
        <w:tab w:val="left" w:pos="2268"/>
        <w:tab w:val="right" w:pos="9072"/>
      </w:tabs>
      <w:spacing w:after="0" w:line="240" w:lineRule="auto"/>
      <w:ind w:left="2268"/>
      <w:jc w:val="both"/>
      <w:rPr>
        <w:rFonts w:ascii="Marianne" w:hAnsi="Marianne"/>
        <w:b/>
        <w:sz w:val="16"/>
      </w:rPr>
    </w:pPr>
    <w:proofErr w:type="gramStart"/>
    <w:r w:rsidRPr="00364477">
      <w:rPr>
        <w:rFonts w:ascii="Marianne" w:hAnsi="Marianne"/>
        <w:b/>
        <w:sz w:val="16"/>
      </w:rPr>
      <w:t>du</w:t>
    </w:r>
    <w:proofErr w:type="gramEnd"/>
    <w:r w:rsidRPr="00364477">
      <w:rPr>
        <w:rFonts w:ascii="Marianne" w:hAnsi="Marianne"/>
        <w:b/>
        <w:sz w:val="16"/>
      </w:rPr>
      <w:t xml:space="preserve"> travail et des solidarités</w:t>
    </w:r>
  </w:p>
  <w:p w:rsidR="00631A02" w:rsidRPr="00364477" w:rsidRDefault="00631A02" w:rsidP="00631A02">
    <w:pPr>
      <w:pBdr>
        <w:left w:val="single" w:sz="4" w:space="4" w:color="auto"/>
      </w:pBdr>
      <w:tabs>
        <w:tab w:val="left" w:pos="2268"/>
        <w:tab w:val="right" w:pos="9072"/>
      </w:tabs>
      <w:spacing w:after="0" w:line="240" w:lineRule="auto"/>
      <w:ind w:left="2268"/>
      <w:jc w:val="both"/>
      <w:rPr>
        <w:rFonts w:ascii="Marianne" w:hAnsi="Marianne"/>
        <w:b/>
        <w:sz w:val="16"/>
      </w:rPr>
    </w:pPr>
    <w:proofErr w:type="gramStart"/>
    <w:r w:rsidRPr="00364477">
      <w:rPr>
        <w:rFonts w:ascii="Marianne" w:hAnsi="Marianne"/>
        <w:b/>
        <w:sz w:val="16"/>
      </w:rPr>
      <w:t>du</w:t>
    </w:r>
    <w:proofErr w:type="gramEnd"/>
    <w:r w:rsidRPr="00364477">
      <w:rPr>
        <w:rFonts w:ascii="Marianne" w:hAnsi="Marianne"/>
        <w:b/>
        <w:sz w:val="16"/>
      </w:rPr>
      <w:t xml:space="preserve"> Grand Est</w:t>
    </w:r>
  </w:p>
  <w:p w:rsidR="00631A02" w:rsidRDefault="00631A02" w:rsidP="00631A02">
    <w:pPr>
      <w:pStyle w:val="En-tte"/>
      <w:tabs>
        <w:tab w:val="left" w:pos="2268"/>
      </w:tabs>
      <w:ind w:left="2268"/>
    </w:pPr>
  </w:p>
  <w:p w:rsidR="00631A02" w:rsidRDefault="00631A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264" w:rsidRPr="00B52264" w:rsidRDefault="00B52264" w:rsidP="00B522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77F01"/>
    <w:multiLevelType w:val="hybridMultilevel"/>
    <w:tmpl w:val="983E2050"/>
    <w:lvl w:ilvl="0" w:tplc="4BA8E8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5645734"/>
    <w:multiLevelType w:val="hybridMultilevel"/>
    <w:tmpl w:val="DC5077EE"/>
    <w:lvl w:ilvl="0" w:tplc="F7503BE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2F00740"/>
    <w:multiLevelType w:val="hybridMultilevel"/>
    <w:tmpl w:val="272C336A"/>
    <w:lvl w:ilvl="0" w:tplc="44DAAD6A">
      <w:numFmt w:val="bullet"/>
      <w:lvlText w:val="•"/>
      <w:lvlJc w:val="left"/>
      <w:pPr>
        <w:ind w:left="720" w:hanging="360"/>
      </w:pPr>
      <w:rPr>
        <w:rFonts w:ascii="Marianne" w:eastAsiaTheme="minorHAnsi"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D77518"/>
    <w:multiLevelType w:val="hybridMultilevel"/>
    <w:tmpl w:val="E5C8E7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18"/>
    <w:rsid w:val="00035240"/>
    <w:rsid w:val="00224A3D"/>
    <w:rsid w:val="00240F14"/>
    <w:rsid w:val="0035166C"/>
    <w:rsid w:val="0037790D"/>
    <w:rsid w:val="00414B45"/>
    <w:rsid w:val="004A6C05"/>
    <w:rsid w:val="0059572D"/>
    <w:rsid w:val="005B6089"/>
    <w:rsid w:val="00631A02"/>
    <w:rsid w:val="00691518"/>
    <w:rsid w:val="007B5490"/>
    <w:rsid w:val="008460DA"/>
    <w:rsid w:val="00A41D4E"/>
    <w:rsid w:val="00B52264"/>
    <w:rsid w:val="00C042CD"/>
    <w:rsid w:val="00CF20E6"/>
    <w:rsid w:val="00E6176A"/>
    <w:rsid w:val="00E666D4"/>
    <w:rsid w:val="00EA1946"/>
    <w:rsid w:val="00FB3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7CDD"/>
  <w15:chartTrackingRefBased/>
  <w15:docId w15:val="{E5D17A86-126F-401D-B673-61BAE334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91518"/>
    <w:pPr>
      <w:spacing w:after="0" w:line="240" w:lineRule="auto"/>
    </w:pPr>
  </w:style>
  <w:style w:type="paragraph" w:styleId="Paragraphedeliste">
    <w:name w:val="List Paragraph"/>
    <w:basedOn w:val="Normal"/>
    <w:uiPriority w:val="34"/>
    <w:qFormat/>
    <w:rsid w:val="00691518"/>
    <w:pPr>
      <w:ind w:left="720"/>
      <w:contextualSpacing/>
    </w:pPr>
  </w:style>
  <w:style w:type="paragraph" w:styleId="En-tte">
    <w:name w:val="header"/>
    <w:basedOn w:val="Normal"/>
    <w:link w:val="En-tteCar"/>
    <w:uiPriority w:val="99"/>
    <w:unhideWhenUsed/>
    <w:rsid w:val="00631A02"/>
    <w:pPr>
      <w:tabs>
        <w:tab w:val="center" w:pos="4536"/>
        <w:tab w:val="right" w:pos="9072"/>
      </w:tabs>
      <w:spacing w:after="0" w:line="240" w:lineRule="auto"/>
    </w:pPr>
  </w:style>
  <w:style w:type="character" w:customStyle="1" w:styleId="En-tteCar">
    <w:name w:val="En-tête Car"/>
    <w:basedOn w:val="Policepardfaut"/>
    <w:link w:val="En-tte"/>
    <w:uiPriority w:val="99"/>
    <w:rsid w:val="00631A02"/>
  </w:style>
  <w:style w:type="paragraph" w:styleId="Pieddepage">
    <w:name w:val="footer"/>
    <w:basedOn w:val="Normal"/>
    <w:link w:val="PieddepageCar"/>
    <w:uiPriority w:val="99"/>
    <w:unhideWhenUsed/>
    <w:rsid w:val="00631A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1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EF39D7783D664BABCB004399CAF5C5" ma:contentTypeVersion="3" ma:contentTypeDescription="Crée un document." ma:contentTypeScope="" ma:versionID="35d12c72d1b06c4aebe2ec3e921309ff">
  <xsd:schema xmlns:xsd="http://www.w3.org/2001/XMLSchema" xmlns:xs="http://www.w3.org/2001/XMLSchema" xmlns:p="http://schemas.microsoft.com/office/2006/metadata/properties" xmlns:ns2="ddd8ede4-c600-476d-a99d-dfac9d1b9eeb" targetNamespace="http://schemas.microsoft.com/office/2006/metadata/properties" ma:root="true" ma:fieldsID="4f9a90442465100a23806a07fc6cc5ac" ns2:_="">
    <xsd:import namespace="ddd8ede4-c600-476d-a99d-dfac9d1b9e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ede4-c600-476d-a99d-dfac9d1b9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B6494-FEB1-4672-B364-BA37C85312A2}">
  <ds:schemaRefs>
    <ds:schemaRef ds:uri="http://purl.org/dc/terms/"/>
    <ds:schemaRef ds:uri="http://schemas.microsoft.com/office/2006/documentManagement/types"/>
    <ds:schemaRef ds:uri="http://purl.org/dc/elements/1.1/"/>
    <ds:schemaRef ds:uri="http://schemas.microsoft.com/office/2006/metadata/properties"/>
    <ds:schemaRef ds:uri="ddd8ede4-c600-476d-a99d-dfac9d1b9ee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A244968-6697-417C-BEF0-F91A700CE63C}">
  <ds:schemaRefs>
    <ds:schemaRef ds:uri="http://schemas.microsoft.com/sharepoint/v3/contenttype/forms"/>
  </ds:schemaRefs>
</ds:datastoreItem>
</file>

<file path=customXml/itemProps3.xml><?xml version="1.0" encoding="utf-8"?>
<ds:datastoreItem xmlns:ds="http://schemas.openxmlformats.org/officeDocument/2006/customXml" ds:itemID="{81D331CB-00BD-4CFD-ABC4-44966102A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ede4-c600-476d-a99d-dfac9d1b9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706</Words>
  <Characters>3883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DINSIC67</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CLAUDEL Héloïse</dc:creator>
  <cp:keywords/>
  <dc:description/>
  <cp:lastModifiedBy>BRACONNIER, Catherine (DREETS-GE)</cp:lastModifiedBy>
  <cp:revision>6</cp:revision>
  <dcterms:created xsi:type="dcterms:W3CDTF">2024-01-23T10:56:00Z</dcterms:created>
  <dcterms:modified xsi:type="dcterms:W3CDTF">2024-01-23T15:22:00Z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0x010100DCEF39D7783D664BABCB004399CAF5C5</vt:lpwstr>
  </property>
</Properties>
</file>