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ACEEC8" w14:textId="56F31566" w:rsidR="00545D1C" w:rsidRDefault="00545D1C" w:rsidP="002D7BE7">
      <w:pPr>
        <w:pStyle w:val="Sansinterligne"/>
        <w:jc w:val="both"/>
        <w:rPr>
          <w:rFonts w:ascii="Marianne" w:hAnsi="Marianne" w:cs="Times New Roman"/>
          <w:sz w:val="24"/>
          <w:szCs w:val="24"/>
          <w:lang w:eastAsia="fr-FR"/>
        </w:rPr>
      </w:pPr>
      <w:bookmarkStart w:id="0" w:name="_GoBack"/>
      <w:bookmarkEnd w:id="0"/>
    </w:p>
    <w:p w14:paraId="244D3EDF" w14:textId="151C44ED" w:rsidR="00545D1C" w:rsidRPr="00364477" w:rsidRDefault="00545D1C" w:rsidP="00545D1C">
      <w:pPr>
        <w:tabs>
          <w:tab w:val="center" w:pos="4820"/>
        </w:tabs>
        <w:spacing w:after="120"/>
        <w:rPr>
          <w:rFonts w:ascii="Marianne ExtraBold" w:eastAsia="Calibri" w:hAnsi="Marianne ExtraBold"/>
          <w:b/>
          <w:sz w:val="44"/>
          <w:szCs w:val="20"/>
        </w:rPr>
      </w:pPr>
      <w:r>
        <w:rPr>
          <w:rFonts w:ascii="Marianne ExtraBold" w:eastAsia="Calibri" w:hAnsi="Marianne ExtraBold"/>
          <w:b/>
          <w:sz w:val="44"/>
          <w:szCs w:val="20"/>
        </w:rPr>
        <w:t>FICHE 9</w:t>
      </w:r>
      <w:r w:rsidRPr="00364477">
        <w:rPr>
          <w:rFonts w:ascii="Marianne ExtraBold" w:eastAsia="Calibri" w:hAnsi="Marianne ExtraBold"/>
          <w:b/>
          <w:sz w:val="44"/>
          <w:szCs w:val="20"/>
        </w:rPr>
        <w:t xml:space="preserve"> </w:t>
      </w:r>
    </w:p>
    <w:p w14:paraId="4271C216" w14:textId="698A509D" w:rsidR="00545D1C" w:rsidRPr="00C44987" w:rsidRDefault="00545D1C" w:rsidP="00545D1C">
      <w:pPr>
        <w:rPr>
          <w:rFonts w:ascii="Marianne" w:eastAsia="Calibri" w:hAnsi="Marianne"/>
          <w:b/>
          <w:sz w:val="40"/>
          <w:szCs w:val="39"/>
        </w:rPr>
      </w:pPr>
      <w:r w:rsidRPr="00C44987">
        <w:rPr>
          <w:rFonts w:ascii="Marianne" w:eastAsia="Calibri" w:hAnsi="Marianne"/>
          <w:b/>
          <w:sz w:val="40"/>
          <w:szCs w:val="39"/>
        </w:rPr>
        <w:t>Formation à la sécurité</w:t>
      </w:r>
    </w:p>
    <w:p w14:paraId="1AAC0BB8" w14:textId="554A5534" w:rsidR="00545D1C" w:rsidRDefault="00545D1C" w:rsidP="002D7BE7">
      <w:pPr>
        <w:pStyle w:val="Sansinterligne"/>
        <w:jc w:val="both"/>
        <w:rPr>
          <w:rFonts w:ascii="Marianne" w:hAnsi="Marianne" w:cs="Times New Roman"/>
          <w:sz w:val="24"/>
          <w:szCs w:val="24"/>
          <w:lang w:eastAsia="fr-FR"/>
        </w:rPr>
      </w:pPr>
    </w:p>
    <w:p w14:paraId="27C98204" w14:textId="6D1020FF" w:rsidR="00825BB9" w:rsidRPr="009C7830" w:rsidRDefault="00825BB9" w:rsidP="00825BB9">
      <w:pPr>
        <w:pStyle w:val="Sansinterligne"/>
        <w:shd w:val="clear" w:color="auto" w:fill="C5E0B3" w:themeFill="accent6" w:themeFillTint="66"/>
        <w:jc w:val="both"/>
        <w:rPr>
          <w:rFonts w:ascii="Marianne" w:hAnsi="Marianne" w:cs="Times New Roman"/>
          <w:b/>
          <w:szCs w:val="20"/>
          <w:lang w:eastAsia="fr-FR"/>
        </w:rPr>
      </w:pPr>
      <w:r w:rsidRPr="009C7830">
        <w:rPr>
          <w:rFonts w:ascii="Marianne" w:hAnsi="Marianne" w:cs="Times New Roman"/>
          <w:b/>
          <w:szCs w:val="20"/>
          <w:lang w:eastAsia="fr-FR"/>
        </w:rPr>
        <w:t>Articles L. 4141-1 à 3 du code du travail</w:t>
      </w:r>
    </w:p>
    <w:p w14:paraId="1FB3910C" w14:textId="46D03514" w:rsidR="00545D1C" w:rsidRDefault="00545D1C" w:rsidP="002D7BE7">
      <w:pPr>
        <w:pStyle w:val="Sansinterligne"/>
        <w:jc w:val="both"/>
        <w:rPr>
          <w:rFonts w:ascii="Marianne" w:hAnsi="Marianne" w:cs="Times New Roman"/>
          <w:sz w:val="24"/>
          <w:szCs w:val="24"/>
          <w:lang w:eastAsia="fr-FR"/>
        </w:rPr>
      </w:pPr>
    </w:p>
    <w:tbl>
      <w:tblPr>
        <w:tblStyle w:val="Grilledutableau"/>
        <w:tblW w:w="9918" w:type="dxa"/>
        <w:tblBorders>
          <w:top w:val="single" w:sz="4" w:space="0" w:color="8EAADB" w:themeColor="accent5" w:themeTint="99"/>
          <w:left w:val="none" w:sz="0" w:space="0" w:color="auto"/>
          <w:bottom w:val="single" w:sz="4" w:space="0" w:color="8EAADB" w:themeColor="accent5" w:themeTint="99"/>
          <w:right w:val="none" w:sz="0" w:space="0" w:color="auto"/>
          <w:insideH w:val="single" w:sz="4" w:space="0" w:color="8EAADB" w:themeColor="accent5" w:themeTint="99"/>
          <w:insideV w:val="single" w:sz="4" w:space="0" w:color="8EAADB" w:themeColor="accent5" w:themeTint="99"/>
        </w:tblBorders>
        <w:tblLook w:val="04A0" w:firstRow="1" w:lastRow="0" w:firstColumn="1" w:lastColumn="0" w:noHBand="0" w:noVBand="1"/>
      </w:tblPr>
      <w:tblGrid>
        <w:gridCol w:w="2263"/>
        <w:gridCol w:w="7655"/>
      </w:tblGrid>
      <w:tr w:rsidR="00825BB9" w14:paraId="1ADAA943" w14:textId="77777777" w:rsidTr="003C2A9F">
        <w:tc>
          <w:tcPr>
            <w:tcW w:w="2263" w:type="dxa"/>
          </w:tcPr>
          <w:p w14:paraId="2972BF2D" w14:textId="323D2F33" w:rsidR="00825BB9" w:rsidRDefault="00C44987" w:rsidP="002D7BE7">
            <w:pPr>
              <w:pStyle w:val="Sansinterligne"/>
              <w:jc w:val="both"/>
              <w:rPr>
                <w:rFonts w:ascii="Marianne" w:hAnsi="Marianne" w:cs="Times New Roman"/>
                <w:sz w:val="24"/>
                <w:szCs w:val="24"/>
                <w:lang w:eastAsia="fr-FR"/>
              </w:rPr>
            </w:pPr>
            <w:hyperlink r:id="rId10" w:history="1">
              <w:r w:rsidR="003C2A9F" w:rsidRPr="00825BB9">
                <w:rPr>
                  <w:rFonts w:ascii="Marianne" w:eastAsia="Times New Roman" w:hAnsi="Marianne" w:cs="Times New Roman"/>
                  <w:color w:val="4472C4" w:themeColor="accent5"/>
                  <w:sz w:val="20"/>
                  <w:szCs w:val="20"/>
                  <w:u w:val="single"/>
                  <w:lang w:eastAsia="fr-FR"/>
                </w:rPr>
                <w:t>Article L. 4141-1</w:t>
              </w:r>
            </w:hyperlink>
          </w:p>
        </w:tc>
        <w:tc>
          <w:tcPr>
            <w:tcW w:w="7655" w:type="dxa"/>
          </w:tcPr>
          <w:p w14:paraId="6596701E" w14:textId="77777777" w:rsidR="00825BB9" w:rsidRDefault="003C2A9F" w:rsidP="002D7BE7">
            <w:pPr>
              <w:pStyle w:val="Sansinterligne"/>
              <w:jc w:val="both"/>
              <w:rPr>
                <w:rFonts w:ascii="Marianne" w:eastAsia="Times New Roman" w:hAnsi="Marianne" w:cs="Times New Roman"/>
                <w:i/>
                <w:sz w:val="20"/>
                <w:szCs w:val="20"/>
                <w:lang w:eastAsia="fr-FR"/>
              </w:rPr>
            </w:pPr>
            <w:r w:rsidRPr="00545D1C">
              <w:rPr>
                <w:rFonts w:ascii="Marianne" w:eastAsia="Times New Roman" w:hAnsi="Marianne" w:cs="Times New Roman"/>
                <w:sz w:val="20"/>
                <w:szCs w:val="20"/>
                <w:lang w:eastAsia="fr-FR"/>
              </w:rPr>
              <w:t>« </w:t>
            </w:r>
            <w:r w:rsidRPr="00545D1C">
              <w:rPr>
                <w:rFonts w:ascii="Marianne" w:eastAsia="Times New Roman" w:hAnsi="Marianne" w:cs="Times New Roman"/>
                <w:i/>
                <w:sz w:val="20"/>
                <w:szCs w:val="20"/>
                <w:lang w:eastAsia="fr-FR"/>
              </w:rPr>
              <w:t>L'employeur organise et dispense une information des travailleurs sur les risques pour la santé et la sécurité et les mesures prises pour y remédier.</w:t>
            </w:r>
          </w:p>
          <w:p w14:paraId="321CEDC7" w14:textId="6FEF358D" w:rsidR="009C7830" w:rsidRDefault="003C2A9F" w:rsidP="00C5419E">
            <w:pPr>
              <w:pStyle w:val="Sansinterligne"/>
              <w:spacing w:after="160"/>
              <w:jc w:val="both"/>
              <w:rPr>
                <w:rFonts w:ascii="Marianne" w:hAnsi="Marianne" w:cs="Times New Roman"/>
                <w:sz w:val="24"/>
                <w:szCs w:val="24"/>
                <w:lang w:eastAsia="fr-FR"/>
              </w:rPr>
            </w:pPr>
            <w:r w:rsidRPr="00545D1C">
              <w:rPr>
                <w:rFonts w:ascii="Marianne" w:eastAsia="Times New Roman" w:hAnsi="Marianne" w:cs="Times New Roman"/>
                <w:i/>
                <w:sz w:val="20"/>
                <w:szCs w:val="20"/>
                <w:lang w:eastAsia="fr-FR"/>
              </w:rPr>
              <w:t>Il organise et dispense également une information des travailleurs sur les risques que peuvent faire peser sur la santé publique ou l'environnement les produits ou procédés de fabrication utilisés ou mis en œuvre par l'établissement ainsi que sur les mesures prises pour y remédier</w:t>
            </w:r>
            <w:r w:rsidRPr="00545D1C">
              <w:rPr>
                <w:rFonts w:ascii="Marianne" w:eastAsia="Times New Roman" w:hAnsi="Marianne" w:cs="Times New Roman"/>
                <w:sz w:val="20"/>
                <w:szCs w:val="20"/>
                <w:lang w:eastAsia="fr-FR"/>
              </w:rPr>
              <w:t> ».</w:t>
            </w:r>
          </w:p>
        </w:tc>
      </w:tr>
      <w:tr w:rsidR="00825BB9" w14:paraId="0E9719D7" w14:textId="77777777" w:rsidTr="003C2A9F">
        <w:tc>
          <w:tcPr>
            <w:tcW w:w="2263" w:type="dxa"/>
          </w:tcPr>
          <w:p w14:paraId="519C2B22" w14:textId="7864E891" w:rsidR="00825BB9" w:rsidRDefault="00C44987" w:rsidP="002D7BE7">
            <w:pPr>
              <w:pStyle w:val="Sansinterligne"/>
              <w:jc w:val="both"/>
              <w:rPr>
                <w:rFonts w:ascii="Marianne" w:hAnsi="Marianne" w:cs="Times New Roman"/>
                <w:sz w:val="24"/>
                <w:szCs w:val="24"/>
                <w:lang w:eastAsia="fr-FR"/>
              </w:rPr>
            </w:pPr>
            <w:hyperlink r:id="rId11" w:history="1">
              <w:r w:rsidR="003C2A9F" w:rsidRPr="00825BB9">
                <w:rPr>
                  <w:rFonts w:ascii="Marianne" w:eastAsia="Times New Roman" w:hAnsi="Marianne" w:cs="Times New Roman"/>
                  <w:color w:val="4472C4" w:themeColor="accent5"/>
                  <w:sz w:val="20"/>
                  <w:szCs w:val="20"/>
                  <w:u w:val="single"/>
                  <w:lang w:eastAsia="fr-FR"/>
                </w:rPr>
                <w:t>Article L. 4141-2</w:t>
              </w:r>
            </w:hyperlink>
          </w:p>
        </w:tc>
        <w:tc>
          <w:tcPr>
            <w:tcW w:w="7655" w:type="dxa"/>
          </w:tcPr>
          <w:p w14:paraId="37D38ED0" w14:textId="77777777" w:rsidR="00825BB9" w:rsidRDefault="003C2A9F" w:rsidP="002D7BE7">
            <w:pPr>
              <w:pStyle w:val="Sansinterligne"/>
              <w:jc w:val="both"/>
              <w:rPr>
                <w:rFonts w:ascii="Marianne" w:eastAsia="Times New Roman" w:hAnsi="Marianne" w:cs="Times New Roman"/>
                <w:i/>
                <w:sz w:val="20"/>
                <w:szCs w:val="20"/>
                <w:lang w:eastAsia="fr-FR"/>
              </w:rPr>
            </w:pPr>
            <w:r w:rsidRPr="00545D1C">
              <w:rPr>
                <w:rFonts w:ascii="Marianne" w:eastAsia="Times New Roman" w:hAnsi="Marianne" w:cs="Times New Roman"/>
                <w:sz w:val="20"/>
                <w:szCs w:val="20"/>
                <w:lang w:eastAsia="fr-FR"/>
              </w:rPr>
              <w:t>« </w:t>
            </w:r>
            <w:r w:rsidRPr="00545D1C">
              <w:rPr>
                <w:rFonts w:ascii="Marianne" w:eastAsia="Times New Roman" w:hAnsi="Marianne" w:cs="Times New Roman"/>
                <w:i/>
                <w:sz w:val="20"/>
                <w:szCs w:val="20"/>
                <w:lang w:eastAsia="fr-FR"/>
              </w:rPr>
              <w:t>L'employeur organise une formation pratique et appropriée à la sécurité au bénéfice :</w:t>
            </w:r>
          </w:p>
          <w:p w14:paraId="00B460AD" w14:textId="77777777" w:rsidR="003C2A9F" w:rsidRDefault="003C2A9F" w:rsidP="002D7BE7">
            <w:pPr>
              <w:pStyle w:val="Sansinterligne"/>
              <w:jc w:val="both"/>
              <w:rPr>
                <w:rFonts w:ascii="Marianne" w:eastAsia="Times New Roman" w:hAnsi="Marianne" w:cs="Times New Roman"/>
                <w:i/>
                <w:sz w:val="20"/>
                <w:szCs w:val="20"/>
                <w:lang w:eastAsia="fr-FR"/>
              </w:rPr>
            </w:pPr>
            <w:r w:rsidRPr="00545D1C">
              <w:rPr>
                <w:rFonts w:ascii="Marianne" w:eastAsia="Times New Roman" w:hAnsi="Marianne" w:cs="Times New Roman"/>
                <w:i/>
                <w:sz w:val="20"/>
                <w:szCs w:val="20"/>
                <w:lang w:eastAsia="fr-FR"/>
              </w:rPr>
              <w:t>1° Des travailleurs qu'il embauche ;</w:t>
            </w:r>
          </w:p>
          <w:p w14:paraId="0D46B77C" w14:textId="102A60F1" w:rsidR="003C2A9F" w:rsidRDefault="003C2A9F" w:rsidP="002D7BE7">
            <w:pPr>
              <w:pStyle w:val="Sansinterligne"/>
              <w:jc w:val="both"/>
              <w:rPr>
                <w:rFonts w:ascii="Marianne" w:eastAsia="Times New Roman" w:hAnsi="Marianne" w:cs="Times New Roman"/>
                <w:i/>
                <w:sz w:val="20"/>
                <w:szCs w:val="20"/>
                <w:lang w:eastAsia="fr-FR"/>
              </w:rPr>
            </w:pPr>
            <w:r w:rsidRPr="00545D1C">
              <w:rPr>
                <w:rFonts w:ascii="Marianne" w:eastAsia="Times New Roman" w:hAnsi="Marianne" w:cs="Times New Roman"/>
                <w:i/>
                <w:sz w:val="20"/>
                <w:szCs w:val="20"/>
                <w:lang w:eastAsia="fr-FR"/>
              </w:rPr>
              <w:t>2° Des travailleurs qui changent de poste de travail ou de technique ;</w:t>
            </w:r>
          </w:p>
          <w:p w14:paraId="430CE197" w14:textId="1AC52A07" w:rsidR="003C2A9F" w:rsidRDefault="003C2A9F" w:rsidP="002D7BE7">
            <w:pPr>
              <w:pStyle w:val="Sansinterligne"/>
              <w:jc w:val="both"/>
              <w:rPr>
                <w:rFonts w:ascii="Marianne" w:eastAsia="Times New Roman" w:hAnsi="Marianne" w:cs="Times New Roman"/>
                <w:i/>
                <w:sz w:val="20"/>
                <w:szCs w:val="20"/>
                <w:lang w:eastAsia="fr-FR"/>
              </w:rPr>
            </w:pPr>
            <w:r w:rsidRPr="00545D1C">
              <w:rPr>
                <w:rFonts w:ascii="Marianne" w:eastAsia="Times New Roman" w:hAnsi="Marianne" w:cs="Times New Roman"/>
                <w:i/>
                <w:sz w:val="20"/>
                <w:szCs w:val="20"/>
                <w:lang w:eastAsia="fr-FR"/>
              </w:rPr>
              <w:t>3° Des salariés temporaires, à l'exception de ceux auxquels il est fait appel en vue de l'exécution de travaux urgents nécessités par des mesures de sécurité et déjà dotés de la qualification nécessaire à cette intervention ;</w:t>
            </w:r>
          </w:p>
          <w:p w14:paraId="18EA19C6" w14:textId="7E166E92" w:rsidR="003C2A9F" w:rsidRDefault="003C2A9F" w:rsidP="002D7BE7">
            <w:pPr>
              <w:pStyle w:val="Sansinterligne"/>
              <w:jc w:val="both"/>
              <w:rPr>
                <w:rFonts w:ascii="Marianne" w:eastAsia="Times New Roman" w:hAnsi="Marianne" w:cs="Times New Roman"/>
                <w:i/>
                <w:sz w:val="20"/>
                <w:szCs w:val="20"/>
                <w:lang w:eastAsia="fr-FR"/>
              </w:rPr>
            </w:pPr>
            <w:r w:rsidRPr="00545D1C">
              <w:rPr>
                <w:rFonts w:ascii="Marianne" w:eastAsia="Times New Roman" w:hAnsi="Marianne" w:cs="Times New Roman"/>
                <w:i/>
                <w:sz w:val="20"/>
                <w:szCs w:val="20"/>
                <w:lang w:eastAsia="fr-FR"/>
              </w:rPr>
              <w:t>4° A la demande du médecin du travail, des travailleurs qui reprennent leur activité après un arrêt de travail d'une durée d'au moins vingt et un jours.</w:t>
            </w:r>
          </w:p>
          <w:p w14:paraId="6F2F8F3D" w14:textId="391B8EE3" w:rsidR="003C2A9F" w:rsidRPr="00C5419E" w:rsidRDefault="003C2A9F" w:rsidP="00C5419E">
            <w:pPr>
              <w:pStyle w:val="Sansinterligne"/>
              <w:spacing w:after="160"/>
              <w:jc w:val="both"/>
              <w:rPr>
                <w:rFonts w:ascii="Marianne" w:eastAsia="Times New Roman" w:hAnsi="Marianne" w:cs="Times New Roman"/>
                <w:i/>
                <w:sz w:val="20"/>
                <w:szCs w:val="20"/>
                <w:lang w:eastAsia="fr-FR"/>
              </w:rPr>
            </w:pPr>
            <w:r w:rsidRPr="00545D1C">
              <w:rPr>
                <w:rFonts w:ascii="Marianne" w:eastAsia="Times New Roman" w:hAnsi="Marianne" w:cs="Times New Roman"/>
                <w:i/>
                <w:sz w:val="20"/>
                <w:szCs w:val="20"/>
                <w:lang w:eastAsia="fr-FR"/>
              </w:rPr>
              <w:t>Cette formation est répétée périodiquement dans des conditions déterminées par voie réglementaire ou par convention ou accord collectif de travail </w:t>
            </w:r>
            <w:r w:rsidRPr="00545D1C">
              <w:rPr>
                <w:rFonts w:ascii="Marianne" w:eastAsia="Times New Roman" w:hAnsi="Marianne" w:cs="Times New Roman"/>
                <w:sz w:val="20"/>
                <w:szCs w:val="20"/>
                <w:lang w:eastAsia="fr-FR"/>
              </w:rPr>
              <w:t>».</w:t>
            </w:r>
          </w:p>
        </w:tc>
      </w:tr>
      <w:tr w:rsidR="00825BB9" w14:paraId="33DEAF1C" w14:textId="77777777" w:rsidTr="003C2A9F">
        <w:tc>
          <w:tcPr>
            <w:tcW w:w="2263" w:type="dxa"/>
          </w:tcPr>
          <w:p w14:paraId="55C6F830" w14:textId="10E18970" w:rsidR="00825BB9" w:rsidRDefault="00C44987" w:rsidP="002D7BE7">
            <w:pPr>
              <w:pStyle w:val="Sansinterligne"/>
              <w:jc w:val="both"/>
              <w:rPr>
                <w:rFonts w:ascii="Marianne" w:hAnsi="Marianne" w:cs="Times New Roman"/>
                <w:sz w:val="24"/>
                <w:szCs w:val="24"/>
                <w:lang w:eastAsia="fr-FR"/>
              </w:rPr>
            </w:pPr>
            <w:hyperlink r:id="rId12" w:history="1">
              <w:r w:rsidR="003C2A9F" w:rsidRPr="00825BB9">
                <w:rPr>
                  <w:rFonts w:ascii="Marianne" w:eastAsia="Times New Roman" w:hAnsi="Marianne" w:cs="Times New Roman"/>
                  <w:color w:val="4472C4" w:themeColor="accent5"/>
                  <w:sz w:val="20"/>
                  <w:szCs w:val="20"/>
                  <w:u w:val="single"/>
                  <w:lang w:eastAsia="fr-FR"/>
                </w:rPr>
                <w:t>Article L. 4141-3</w:t>
              </w:r>
            </w:hyperlink>
          </w:p>
        </w:tc>
        <w:tc>
          <w:tcPr>
            <w:tcW w:w="7655" w:type="dxa"/>
          </w:tcPr>
          <w:p w14:paraId="4D2C3449" w14:textId="3D38BDC2" w:rsidR="009C7830" w:rsidRDefault="003C2A9F" w:rsidP="00C5419E">
            <w:pPr>
              <w:pStyle w:val="Sansinterligne"/>
              <w:spacing w:after="160"/>
              <w:jc w:val="both"/>
              <w:rPr>
                <w:rFonts w:ascii="Marianne" w:hAnsi="Marianne" w:cs="Times New Roman"/>
                <w:sz w:val="24"/>
                <w:szCs w:val="24"/>
                <w:lang w:eastAsia="fr-FR"/>
              </w:rPr>
            </w:pPr>
            <w:r w:rsidRPr="00545D1C">
              <w:rPr>
                <w:rFonts w:ascii="Marianne" w:eastAsia="Times New Roman" w:hAnsi="Marianne" w:cs="Times New Roman"/>
                <w:sz w:val="20"/>
                <w:szCs w:val="20"/>
                <w:lang w:eastAsia="fr-FR"/>
              </w:rPr>
              <w:t>« </w:t>
            </w:r>
            <w:r w:rsidRPr="00545D1C">
              <w:rPr>
                <w:rFonts w:ascii="Marianne" w:eastAsia="Times New Roman" w:hAnsi="Marianne" w:cs="Times New Roman"/>
                <w:i/>
                <w:sz w:val="20"/>
                <w:szCs w:val="20"/>
                <w:lang w:eastAsia="fr-FR"/>
              </w:rPr>
              <w:t>L'étendue de l'obligation d'information et de formation à la sécurité varie selon la taille de l'établissement, la nature de son activité, le caractère des risques qui y sont constatés et le type d'emploi des travailleurs</w:t>
            </w:r>
            <w:r w:rsidRPr="00545D1C">
              <w:rPr>
                <w:rFonts w:ascii="Marianne" w:eastAsia="Times New Roman" w:hAnsi="Marianne" w:cs="Times New Roman"/>
                <w:sz w:val="20"/>
                <w:szCs w:val="20"/>
                <w:lang w:eastAsia="fr-FR"/>
              </w:rPr>
              <w:t> ».</w:t>
            </w:r>
          </w:p>
        </w:tc>
      </w:tr>
    </w:tbl>
    <w:p w14:paraId="3C911130" w14:textId="77777777" w:rsidR="00545D1C" w:rsidRPr="00537105" w:rsidRDefault="00545D1C" w:rsidP="002D7BE7">
      <w:pPr>
        <w:pStyle w:val="Sansinterligne"/>
        <w:jc w:val="both"/>
        <w:rPr>
          <w:rFonts w:ascii="Marianne" w:hAnsi="Marianne" w:cs="Times New Roman"/>
          <w:sz w:val="24"/>
          <w:szCs w:val="24"/>
          <w:lang w:eastAsia="fr-FR"/>
        </w:rPr>
      </w:pPr>
    </w:p>
    <w:p w14:paraId="72A3D3EC" w14:textId="77777777" w:rsidR="00CC4981" w:rsidRPr="00545D1C" w:rsidRDefault="00CC4981" w:rsidP="002D7BE7">
      <w:pPr>
        <w:pStyle w:val="Sansinterligne"/>
        <w:jc w:val="both"/>
        <w:rPr>
          <w:rFonts w:ascii="Marianne" w:hAnsi="Marianne" w:cs="Times New Roman"/>
          <w:b/>
          <w:sz w:val="20"/>
          <w:szCs w:val="20"/>
          <w:lang w:eastAsia="fr-FR"/>
        </w:rPr>
      </w:pPr>
    </w:p>
    <w:p w14:paraId="6A858A8C" w14:textId="5F26A689" w:rsidR="002D7BE7" w:rsidRPr="00545D1C" w:rsidRDefault="00545D1C" w:rsidP="002D7BE7">
      <w:pPr>
        <w:pStyle w:val="Sansinterligne"/>
        <w:jc w:val="both"/>
        <w:rPr>
          <w:rFonts w:ascii="Marianne" w:hAnsi="Marianne" w:cs="Times New Roman"/>
          <w:b/>
          <w:i/>
          <w:color w:val="538135" w:themeColor="accent6" w:themeShade="BF"/>
          <w:sz w:val="24"/>
          <w:lang w:eastAsia="fr-FR"/>
        </w:rPr>
      </w:pPr>
      <w:r w:rsidRPr="00545D1C">
        <w:rPr>
          <w:rFonts w:ascii="Marianne" w:hAnsi="Marianne" w:cs="Times New Roman"/>
          <w:b/>
          <w:i/>
          <w:color w:val="538135" w:themeColor="accent6" w:themeShade="BF"/>
          <w:sz w:val="24"/>
          <w:lang w:eastAsia="fr-FR"/>
        </w:rPr>
        <w:sym w:font="Wingdings" w:char="F046"/>
      </w:r>
      <w:r w:rsidRPr="00545D1C">
        <w:rPr>
          <w:rFonts w:ascii="Marianne" w:hAnsi="Marianne" w:cs="Times New Roman"/>
          <w:b/>
          <w:i/>
          <w:color w:val="538135" w:themeColor="accent6" w:themeShade="BF"/>
          <w:sz w:val="24"/>
          <w:lang w:eastAsia="fr-FR"/>
        </w:rPr>
        <w:t xml:space="preserve"> </w:t>
      </w:r>
      <w:r w:rsidR="002D7BE7" w:rsidRPr="00545D1C">
        <w:rPr>
          <w:rFonts w:ascii="Marianne" w:hAnsi="Marianne" w:cs="Times New Roman"/>
          <w:b/>
          <w:i/>
          <w:color w:val="538135" w:themeColor="accent6" w:themeShade="BF"/>
          <w:sz w:val="24"/>
          <w:lang w:eastAsia="fr-FR"/>
        </w:rPr>
        <w:t>Formation à la sécurité : qui est concerné</w:t>
      </w:r>
      <w:r w:rsidR="002D7BE7" w:rsidRPr="00545D1C">
        <w:rPr>
          <w:rFonts w:ascii="Times New Roman" w:hAnsi="Times New Roman" w:cs="Times New Roman"/>
          <w:b/>
          <w:i/>
          <w:color w:val="538135" w:themeColor="accent6" w:themeShade="BF"/>
          <w:sz w:val="24"/>
          <w:lang w:eastAsia="fr-FR"/>
        </w:rPr>
        <w:t> </w:t>
      </w:r>
      <w:r w:rsidR="002D7BE7" w:rsidRPr="00545D1C">
        <w:rPr>
          <w:rFonts w:ascii="Marianne" w:hAnsi="Marianne" w:cs="Times New Roman"/>
          <w:b/>
          <w:i/>
          <w:color w:val="538135" w:themeColor="accent6" w:themeShade="BF"/>
          <w:sz w:val="24"/>
          <w:lang w:eastAsia="fr-FR"/>
        </w:rPr>
        <w:t>?</w:t>
      </w:r>
    </w:p>
    <w:p w14:paraId="0D0B940D" w14:textId="77777777" w:rsidR="002D7BE7" w:rsidRPr="00537105" w:rsidRDefault="002D7BE7" w:rsidP="002D7BE7">
      <w:pPr>
        <w:pStyle w:val="Sansinterligne"/>
        <w:jc w:val="both"/>
        <w:rPr>
          <w:rFonts w:ascii="Marianne" w:hAnsi="Marianne" w:cs="Times New Roman"/>
          <w:sz w:val="24"/>
          <w:szCs w:val="24"/>
          <w:lang w:eastAsia="fr-FR"/>
        </w:rPr>
      </w:pPr>
    </w:p>
    <w:p w14:paraId="3C672E21" w14:textId="77777777" w:rsidR="002D7BE7" w:rsidRPr="00545D1C" w:rsidRDefault="002D7BE7" w:rsidP="002D7BE7">
      <w:pPr>
        <w:pStyle w:val="Sansinterligne"/>
        <w:jc w:val="both"/>
        <w:rPr>
          <w:rFonts w:ascii="Marianne" w:hAnsi="Marianne" w:cs="Times New Roman"/>
          <w:sz w:val="20"/>
          <w:szCs w:val="20"/>
          <w:lang w:eastAsia="fr-FR"/>
        </w:rPr>
      </w:pPr>
      <w:r w:rsidRPr="00545D1C">
        <w:rPr>
          <w:rFonts w:ascii="Marianne" w:hAnsi="Marianne" w:cs="Times New Roman"/>
          <w:sz w:val="20"/>
          <w:szCs w:val="20"/>
          <w:lang w:eastAsia="fr-FR"/>
        </w:rPr>
        <w:t>L’employeur doit organiser et dispenser une information des travailleurs sur les risques pour la santé et la sécurité et les mesures prises pour y remédier.</w:t>
      </w:r>
    </w:p>
    <w:p w14:paraId="0E27B00A" w14:textId="77777777" w:rsidR="002D7BE7" w:rsidRPr="00545D1C" w:rsidRDefault="002D7BE7" w:rsidP="002D7BE7">
      <w:pPr>
        <w:pStyle w:val="Sansinterligne"/>
        <w:jc w:val="both"/>
        <w:rPr>
          <w:rFonts w:ascii="Marianne" w:hAnsi="Marianne" w:cs="Times New Roman"/>
          <w:sz w:val="20"/>
          <w:szCs w:val="20"/>
          <w:lang w:eastAsia="fr-FR"/>
        </w:rPr>
      </w:pPr>
    </w:p>
    <w:p w14:paraId="34E3084B" w14:textId="77777777" w:rsidR="002D7BE7" w:rsidRPr="00545D1C" w:rsidRDefault="002D7BE7" w:rsidP="002D7BE7">
      <w:pPr>
        <w:pStyle w:val="Sansinterligne"/>
        <w:jc w:val="both"/>
        <w:rPr>
          <w:rFonts w:ascii="Marianne" w:hAnsi="Marianne" w:cs="Times New Roman"/>
          <w:sz w:val="20"/>
          <w:szCs w:val="20"/>
          <w:lang w:eastAsia="fr-FR"/>
        </w:rPr>
      </w:pPr>
      <w:r w:rsidRPr="00545D1C">
        <w:rPr>
          <w:rFonts w:ascii="Marianne" w:hAnsi="Marianne" w:cs="Times New Roman"/>
          <w:sz w:val="20"/>
          <w:szCs w:val="20"/>
          <w:lang w:eastAsia="fr-FR"/>
        </w:rPr>
        <w:t>Il doit organiser une formation pratique à la sécurité :</w:t>
      </w:r>
    </w:p>
    <w:p w14:paraId="6F2ECCD5" w14:textId="78AA40F7" w:rsidR="002D7BE7" w:rsidRPr="00545D1C" w:rsidRDefault="002D7BE7" w:rsidP="009C7830">
      <w:pPr>
        <w:pStyle w:val="Sansinterligne"/>
        <w:numPr>
          <w:ilvl w:val="0"/>
          <w:numId w:val="3"/>
        </w:numPr>
        <w:spacing w:before="120"/>
        <w:jc w:val="both"/>
        <w:rPr>
          <w:rFonts w:ascii="Marianne" w:hAnsi="Marianne" w:cs="Times New Roman"/>
          <w:sz w:val="20"/>
          <w:szCs w:val="20"/>
          <w:lang w:eastAsia="fr-FR"/>
        </w:rPr>
      </w:pPr>
      <w:proofErr w:type="gramStart"/>
      <w:r w:rsidRPr="00545D1C">
        <w:rPr>
          <w:rFonts w:ascii="Marianne" w:hAnsi="Marianne" w:cs="Times New Roman"/>
          <w:sz w:val="20"/>
          <w:szCs w:val="20"/>
          <w:lang w:eastAsia="fr-FR"/>
        </w:rPr>
        <w:t>pour</w:t>
      </w:r>
      <w:proofErr w:type="gramEnd"/>
      <w:r w:rsidRPr="00545D1C">
        <w:rPr>
          <w:rFonts w:ascii="Marianne" w:hAnsi="Marianne" w:cs="Times New Roman"/>
          <w:sz w:val="20"/>
          <w:szCs w:val="20"/>
          <w:lang w:eastAsia="fr-FR"/>
        </w:rPr>
        <w:t xml:space="preserve"> les nouveaux salariés embauchés et chaque fois que cela s’avère nécessaire ;</w:t>
      </w:r>
    </w:p>
    <w:p w14:paraId="66B96CCA" w14:textId="77777777" w:rsidR="002D7BE7" w:rsidRPr="00545D1C" w:rsidRDefault="002D7BE7" w:rsidP="009C7830">
      <w:pPr>
        <w:pStyle w:val="Sansinterligne"/>
        <w:numPr>
          <w:ilvl w:val="0"/>
          <w:numId w:val="3"/>
        </w:numPr>
        <w:jc w:val="both"/>
        <w:rPr>
          <w:rFonts w:ascii="Marianne" w:hAnsi="Marianne" w:cs="Times New Roman"/>
          <w:sz w:val="20"/>
          <w:szCs w:val="20"/>
          <w:lang w:eastAsia="fr-FR"/>
        </w:rPr>
      </w:pPr>
      <w:proofErr w:type="gramStart"/>
      <w:r w:rsidRPr="00545D1C">
        <w:rPr>
          <w:rFonts w:ascii="Marianne" w:hAnsi="Marianne" w:cs="Times New Roman"/>
          <w:sz w:val="20"/>
          <w:szCs w:val="20"/>
          <w:lang w:eastAsia="fr-FR"/>
        </w:rPr>
        <w:t>pour</w:t>
      </w:r>
      <w:proofErr w:type="gramEnd"/>
      <w:r w:rsidRPr="00545D1C">
        <w:rPr>
          <w:rFonts w:ascii="Marianne" w:hAnsi="Marianne" w:cs="Times New Roman"/>
          <w:sz w:val="20"/>
          <w:szCs w:val="20"/>
          <w:lang w:eastAsia="fr-FR"/>
        </w:rPr>
        <w:t xml:space="preserve"> ceux qui changent de poste de travail ou de technique</w:t>
      </w:r>
      <w:r w:rsidRPr="00545D1C">
        <w:rPr>
          <w:rFonts w:ascii="Times New Roman" w:hAnsi="Times New Roman" w:cs="Times New Roman"/>
          <w:sz w:val="20"/>
          <w:szCs w:val="20"/>
          <w:lang w:eastAsia="fr-FR"/>
        </w:rPr>
        <w:t> </w:t>
      </w:r>
      <w:r w:rsidRPr="00545D1C">
        <w:rPr>
          <w:rFonts w:ascii="Marianne" w:hAnsi="Marianne" w:cs="Times New Roman"/>
          <w:sz w:val="20"/>
          <w:szCs w:val="20"/>
          <w:lang w:eastAsia="fr-FR"/>
        </w:rPr>
        <w:t>;</w:t>
      </w:r>
    </w:p>
    <w:p w14:paraId="014EFE2E" w14:textId="7A43AF6D" w:rsidR="5EA97651" w:rsidRPr="009C7830" w:rsidRDefault="002D7BE7" w:rsidP="009C7830">
      <w:pPr>
        <w:pStyle w:val="Sansinterligne"/>
        <w:numPr>
          <w:ilvl w:val="0"/>
          <w:numId w:val="3"/>
        </w:numPr>
        <w:jc w:val="both"/>
        <w:rPr>
          <w:rFonts w:ascii="Marianne" w:hAnsi="Marianne" w:cs="Times New Roman"/>
          <w:sz w:val="20"/>
          <w:szCs w:val="20"/>
          <w:lang w:eastAsia="fr-FR"/>
        </w:rPr>
      </w:pPr>
      <w:proofErr w:type="gramStart"/>
      <w:r w:rsidRPr="00545D1C">
        <w:rPr>
          <w:rFonts w:ascii="Marianne" w:hAnsi="Marianne" w:cs="Times New Roman"/>
          <w:sz w:val="20"/>
          <w:szCs w:val="20"/>
          <w:lang w:eastAsia="fr-FR"/>
        </w:rPr>
        <w:t>pour</w:t>
      </w:r>
      <w:proofErr w:type="gramEnd"/>
      <w:r w:rsidRPr="00545D1C">
        <w:rPr>
          <w:rFonts w:ascii="Marianne" w:hAnsi="Marianne" w:cs="Times New Roman"/>
          <w:sz w:val="20"/>
          <w:szCs w:val="20"/>
          <w:lang w:eastAsia="fr-FR"/>
        </w:rPr>
        <w:t xml:space="preserve"> les salariés temporaires ;</w:t>
      </w:r>
      <w:r w:rsidR="5A64887D" w:rsidRPr="00545D1C">
        <w:rPr>
          <w:rFonts w:ascii="Marianne" w:hAnsi="Marianne" w:cs="Times New Roman"/>
          <w:sz w:val="20"/>
          <w:szCs w:val="20"/>
          <w:lang w:eastAsia="fr-FR"/>
        </w:rPr>
        <w:t xml:space="preserve"> </w:t>
      </w:r>
    </w:p>
    <w:p w14:paraId="0C96CA2C" w14:textId="77777777" w:rsidR="002D7BE7" w:rsidRPr="00545D1C" w:rsidRDefault="002D7BE7" w:rsidP="009C7830">
      <w:pPr>
        <w:pStyle w:val="Sansinterligne"/>
        <w:numPr>
          <w:ilvl w:val="0"/>
          <w:numId w:val="3"/>
        </w:numPr>
        <w:jc w:val="both"/>
        <w:rPr>
          <w:rFonts w:ascii="Marianne" w:hAnsi="Marianne" w:cs="Times New Roman"/>
          <w:sz w:val="20"/>
          <w:szCs w:val="20"/>
          <w:lang w:eastAsia="fr-FR"/>
        </w:rPr>
      </w:pPr>
      <w:r w:rsidRPr="00545D1C">
        <w:rPr>
          <w:rFonts w:ascii="Marianne" w:hAnsi="Marianne" w:cs="Times New Roman"/>
          <w:sz w:val="20"/>
          <w:szCs w:val="20"/>
          <w:lang w:eastAsia="fr-FR"/>
        </w:rPr>
        <w:t xml:space="preserve">à la demande du </w:t>
      </w:r>
      <w:hyperlink r:id="rId13" w:tgtFrame="_blank" w:history="1">
        <w:r w:rsidRPr="00545D1C">
          <w:rPr>
            <w:rFonts w:ascii="Marianne" w:hAnsi="Marianne" w:cs="Times New Roman"/>
            <w:sz w:val="20"/>
            <w:szCs w:val="20"/>
            <w:lang w:eastAsia="fr-FR"/>
          </w:rPr>
          <w:t>médecin du travail</w:t>
        </w:r>
      </w:hyperlink>
      <w:r w:rsidRPr="00545D1C">
        <w:rPr>
          <w:rFonts w:ascii="Marianne" w:hAnsi="Marianne" w:cs="Times New Roman"/>
          <w:sz w:val="20"/>
          <w:szCs w:val="20"/>
          <w:lang w:eastAsia="fr-FR"/>
        </w:rPr>
        <w:t>, des travailleurs qui reprennent leur activité après un arrêt de travail.</w:t>
      </w:r>
    </w:p>
    <w:p w14:paraId="065B2983" w14:textId="7254387D" w:rsidR="003C2A9F" w:rsidRDefault="003C2A9F" w:rsidP="002D7BE7">
      <w:pPr>
        <w:pStyle w:val="Sansinterligne"/>
        <w:jc w:val="both"/>
        <w:rPr>
          <w:rFonts w:ascii="Marianne" w:hAnsi="Marianne" w:cs="Times New Roman"/>
          <w:sz w:val="20"/>
          <w:szCs w:val="20"/>
          <w:lang w:eastAsia="fr-FR"/>
        </w:rPr>
      </w:pPr>
    </w:p>
    <w:p w14:paraId="24081291" w14:textId="77777777" w:rsidR="003C2A9F" w:rsidRDefault="003C2A9F" w:rsidP="002D7BE7">
      <w:pPr>
        <w:pStyle w:val="Sansinterligne"/>
        <w:jc w:val="both"/>
        <w:rPr>
          <w:rFonts w:ascii="Marianne" w:hAnsi="Marianne" w:cs="Times New Roman"/>
          <w:sz w:val="20"/>
          <w:szCs w:val="20"/>
          <w:lang w:eastAsia="fr-FR"/>
        </w:rPr>
        <w:sectPr w:rsidR="003C2A9F" w:rsidSect="00545D1C">
          <w:headerReference w:type="default" r:id="rId14"/>
          <w:footerReference w:type="default" r:id="rId15"/>
          <w:pgSz w:w="11906" w:h="16838"/>
          <w:pgMar w:top="1418" w:right="992" w:bottom="425" w:left="992" w:header="709" w:footer="283" w:gutter="0"/>
          <w:cols w:space="708"/>
          <w:docGrid w:linePitch="360"/>
        </w:sectPr>
      </w:pPr>
    </w:p>
    <w:p w14:paraId="51228538" w14:textId="77777777" w:rsidR="002D7BE7" w:rsidRPr="00545D1C" w:rsidRDefault="002D7BE7" w:rsidP="002D7BE7">
      <w:pPr>
        <w:pStyle w:val="Sansinterligne"/>
        <w:jc w:val="both"/>
        <w:rPr>
          <w:rFonts w:ascii="Marianne" w:hAnsi="Marianne" w:cs="Times New Roman"/>
          <w:sz w:val="20"/>
          <w:szCs w:val="20"/>
          <w:lang w:eastAsia="fr-FR"/>
        </w:rPr>
      </w:pPr>
      <w:r w:rsidRPr="00545D1C">
        <w:rPr>
          <w:rFonts w:ascii="Marianne" w:hAnsi="Marianne" w:cs="Times New Roman"/>
          <w:sz w:val="20"/>
          <w:szCs w:val="20"/>
          <w:lang w:eastAsia="fr-FR"/>
        </w:rPr>
        <w:lastRenderedPageBreak/>
        <w:t>Les salariés sous contrat à durée déterminée (CDD), les stagiaires et les intérimaires affectés à des postes de travail présentant des risques particuliers doivent bénéficier d’une formation renforcée à la sécurité.</w:t>
      </w:r>
    </w:p>
    <w:p w14:paraId="44EAFD9C" w14:textId="77777777" w:rsidR="002D7BE7" w:rsidRPr="00545D1C" w:rsidRDefault="002D7BE7" w:rsidP="002D7BE7">
      <w:pPr>
        <w:pStyle w:val="Sansinterligne"/>
        <w:jc w:val="both"/>
        <w:rPr>
          <w:rFonts w:ascii="Marianne" w:hAnsi="Marianne" w:cs="Times New Roman"/>
          <w:sz w:val="20"/>
          <w:szCs w:val="20"/>
          <w:lang w:eastAsia="fr-FR"/>
        </w:rPr>
      </w:pPr>
    </w:p>
    <w:p w14:paraId="634F4701" w14:textId="77777777" w:rsidR="002D7BE7" w:rsidRPr="00545D1C" w:rsidRDefault="002D7BE7" w:rsidP="002D7BE7">
      <w:pPr>
        <w:pStyle w:val="Sansinterligne"/>
        <w:jc w:val="both"/>
        <w:rPr>
          <w:rFonts w:ascii="Marianne" w:hAnsi="Marianne" w:cs="Times New Roman"/>
          <w:sz w:val="20"/>
          <w:szCs w:val="20"/>
          <w:lang w:eastAsia="fr-FR"/>
        </w:rPr>
      </w:pPr>
      <w:r w:rsidRPr="00545D1C">
        <w:rPr>
          <w:rFonts w:ascii="Marianne" w:hAnsi="Marianne" w:cs="Times New Roman"/>
          <w:sz w:val="20"/>
          <w:szCs w:val="20"/>
          <w:lang w:eastAsia="fr-FR"/>
        </w:rPr>
        <w:t>Par exception, pour les intérimaires, il est possible de se dispenser de cette formation en cas de travaux urgents nécessités par des mesures de sécurité, si l’intérimaire concerné est déjà doté de la qualification nécessaire à cette intervention.</w:t>
      </w:r>
    </w:p>
    <w:p w14:paraId="7E071116" w14:textId="77777777" w:rsidR="002D7BE7" w:rsidRPr="00545D1C" w:rsidRDefault="002D7BE7" w:rsidP="002D7BE7">
      <w:pPr>
        <w:pStyle w:val="Sansinterligne"/>
        <w:jc w:val="both"/>
        <w:rPr>
          <w:rFonts w:ascii="Marianne" w:hAnsi="Marianne" w:cs="Times New Roman"/>
          <w:sz w:val="20"/>
          <w:szCs w:val="20"/>
          <w:lang w:eastAsia="fr-FR"/>
        </w:rPr>
      </w:pPr>
      <w:r w:rsidRPr="00545D1C">
        <w:rPr>
          <w:rFonts w:ascii="Marianne" w:hAnsi="Marianne" w:cs="Times New Roman"/>
          <w:sz w:val="20"/>
          <w:szCs w:val="20"/>
          <w:lang w:eastAsia="fr-FR"/>
        </w:rPr>
        <w:t xml:space="preserve">En pratique, l’employeur doit définir une liste de postes à risques après avis du médecin du travail et du </w:t>
      </w:r>
      <w:proofErr w:type="spellStart"/>
      <w:r w:rsidRPr="00545D1C">
        <w:rPr>
          <w:rFonts w:ascii="Marianne" w:hAnsi="Marianne" w:cs="Times New Roman"/>
          <w:sz w:val="20"/>
          <w:szCs w:val="20"/>
          <w:lang w:eastAsia="fr-FR"/>
        </w:rPr>
        <w:t>CSE</w:t>
      </w:r>
      <w:proofErr w:type="spellEnd"/>
      <w:r w:rsidRPr="00545D1C">
        <w:rPr>
          <w:rFonts w:ascii="Marianne" w:hAnsi="Marianne" w:cs="Times New Roman"/>
          <w:sz w:val="20"/>
          <w:szCs w:val="20"/>
          <w:lang w:eastAsia="fr-FR"/>
        </w:rPr>
        <w:t xml:space="preserve"> (les travaux en hauteur, la manipulation de produits réglementés, etc.).</w:t>
      </w:r>
    </w:p>
    <w:p w14:paraId="4B94D5A5" w14:textId="02AC519C" w:rsidR="002D7BE7" w:rsidRDefault="002D7BE7" w:rsidP="002D7BE7">
      <w:pPr>
        <w:pStyle w:val="Sansinterligne"/>
        <w:jc w:val="both"/>
        <w:rPr>
          <w:rFonts w:ascii="Marianne" w:hAnsi="Marianne" w:cs="Times New Roman"/>
          <w:lang w:eastAsia="fr-FR"/>
        </w:rPr>
      </w:pPr>
    </w:p>
    <w:p w14:paraId="27C3857F" w14:textId="77777777" w:rsidR="009C7830" w:rsidRPr="00537105" w:rsidRDefault="009C7830" w:rsidP="002D7BE7">
      <w:pPr>
        <w:pStyle w:val="Sansinterligne"/>
        <w:jc w:val="both"/>
        <w:rPr>
          <w:rFonts w:ascii="Marianne" w:hAnsi="Marianne" w:cs="Times New Roman"/>
          <w:lang w:eastAsia="fr-FR"/>
        </w:rPr>
      </w:pPr>
    </w:p>
    <w:p w14:paraId="38A1BE8F" w14:textId="0D507C2C" w:rsidR="002D7BE7" w:rsidRPr="00545D1C" w:rsidRDefault="00545D1C" w:rsidP="002D7BE7">
      <w:pPr>
        <w:pStyle w:val="Sansinterligne"/>
        <w:jc w:val="both"/>
        <w:rPr>
          <w:rFonts w:ascii="Marianne" w:hAnsi="Marianne" w:cs="Times New Roman"/>
          <w:b/>
          <w:i/>
          <w:color w:val="538135" w:themeColor="accent6" w:themeShade="BF"/>
          <w:sz w:val="24"/>
          <w:lang w:eastAsia="fr-FR"/>
        </w:rPr>
      </w:pPr>
      <w:r>
        <w:rPr>
          <w:rFonts w:ascii="Marianne" w:hAnsi="Marianne" w:cs="Times New Roman"/>
          <w:b/>
          <w:i/>
          <w:color w:val="538135" w:themeColor="accent6" w:themeShade="BF"/>
          <w:sz w:val="24"/>
          <w:lang w:eastAsia="fr-FR"/>
        </w:rPr>
        <w:sym w:font="Wingdings" w:char="F046"/>
      </w:r>
      <w:r>
        <w:rPr>
          <w:rFonts w:ascii="Marianne" w:hAnsi="Marianne" w:cs="Times New Roman"/>
          <w:b/>
          <w:i/>
          <w:color w:val="538135" w:themeColor="accent6" w:themeShade="BF"/>
          <w:sz w:val="24"/>
          <w:lang w:eastAsia="fr-FR"/>
        </w:rPr>
        <w:t xml:space="preserve"> </w:t>
      </w:r>
      <w:r w:rsidR="002D7BE7" w:rsidRPr="00545D1C">
        <w:rPr>
          <w:rFonts w:ascii="Marianne" w:hAnsi="Marianne" w:cs="Times New Roman"/>
          <w:b/>
          <w:i/>
          <w:color w:val="538135" w:themeColor="accent6" w:themeShade="BF"/>
          <w:sz w:val="24"/>
          <w:lang w:eastAsia="fr-FR"/>
        </w:rPr>
        <w:t>Formation à la sécurité : quelle est son étendue</w:t>
      </w:r>
      <w:r w:rsidR="002D7BE7" w:rsidRPr="00545D1C">
        <w:rPr>
          <w:rFonts w:ascii="Times New Roman" w:hAnsi="Times New Roman" w:cs="Times New Roman"/>
          <w:b/>
          <w:i/>
          <w:color w:val="538135" w:themeColor="accent6" w:themeShade="BF"/>
          <w:sz w:val="24"/>
          <w:lang w:eastAsia="fr-FR"/>
        </w:rPr>
        <w:t> </w:t>
      </w:r>
      <w:r w:rsidR="002D7BE7" w:rsidRPr="00545D1C">
        <w:rPr>
          <w:rFonts w:ascii="Marianne" w:hAnsi="Marianne" w:cs="Times New Roman"/>
          <w:b/>
          <w:i/>
          <w:color w:val="538135" w:themeColor="accent6" w:themeShade="BF"/>
          <w:sz w:val="24"/>
          <w:lang w:eastAsia="fr-FR"/>
        </w:rPr>
        <w:t>?</w:t>
      </w:r>
    </w:p>
    <w:p w14:paraId="3DEEC669" w14:textId="77777777" w:rsidR="002D7BE7" w:rsidRPr="00537105" w:rsidRDefault="002D7BE7" w:rsidP="002D7BE7">
      <w:pPr>
        <w:pStyle w:val="Sansinterligne"/>
        <w:jc w:val="both"/>
        <w:rPr>
          <w:rFonts w:ascii="Marianne" w:hAnsi="Marianne" w:cs="Times New Roman"/>
          <w:sz w:val="24"/>
          <w:szCs w:val="24"/>
          <w:lang w:eastAsia="fr-FR"/>
        </w:rPr>
      </w:pPr>
    </w:p>
    <w:p w14:paraId="47FDA656" w14:textId="77777777" w:rsidR="002D7BE7" w:rsidRPr="00545D1C" w:rsidRDefault="002D7BE7" w:rsidP="002D7BE7">
      <w:pPr>
        <w:pStyle w:val="Sansinterligne"/>
        <w:jc w:val="both"/>
        <w:rPr>
          <w:rFonts w:ascii="Marianne" w:hAnsi="Marianne" w:cs="Times New Roman"/>
          <w:sz w:val="20"/>
          <w:szCs w:val="24"/>
          <w:lang w:eastAsia="fr-FR"/>
        </w:rPr>
      </w:pPr>
      <w:r w:rsidRPr="00545D1C">
        <w:rPr>
          <w:rFonts w:ascii="Marianne" w:hAnsi="Marianne" w:cs="Times New Roman"/>
          <w:sz w:val="20"/>
          <w:szCs w:val="24"/>
          <w:lang w:eastAsia="fr-FR"/>
        </w:rPr>
        <w:t>L’étendue de cette formation dépend de différents critères : taille et nature de l’activité de l’entreprise, risques constatés ou encore type d’emploi. Il est également tenu compte du profil du salarié formé (expérience professionnelle, qualification, langue parlée).</w:t>
      </w:r>
    </w:p>
    <w:p w14:paraId="3656B9AB" w14:textId="77777777" w:rsidR="002D7BE7" w:rsidRPr="00545D1C" w:rsidRDefault="002D7BE7" w:rsidP="002D7BE7">
      <w:pPr>
        <w:pStyle w:val="Sansinterligne"/>
        <w:jc w:val="both"/>
        <w:rPr>
          <w:rFonts w:ascii="Marianne" w:hAnsi="Marianne" w:cs="Times New Roman"/>
          <w:sz w:val="20"/>
          <w:szCs w:val="24"/>
          <w:lang w:eastAsia="fr-FR"/>
        </w:rPr>
      </w:pPr>
    </w:p>
    <w:p w14:paraId="3FB2647C" w14:textId="77777777" w:rsidR="002D7BE7" w:rsidRPr="00545D1C" w:rsidRDefault="002D7BE7" w:rsidP="002D7BE7">
      <w:pPr>
        <w:pStyle w:val="Sansinterligne"/>
        <w:jc w:val="both"/>
        <w:rPr>
          <w:rFonts w:ascii="Marianne" w:hAnsi="Marianne" w:cs="Times New Roman"/>
          <w:sz w:val="20"/>
          <w:szCs w:val="24"/>
          <w:lang w:eastAsia="fr-FR"/>
        </w:rPr>
      </w:pPr>
      <w:r w:rsidRPr="00545D1C">
        <w:rPr>
          <w:rFonts w:ascii="Marianne" w:hAnsi="Marianne" w:cs="Times New Roman"/>
          <w:sz w:val="20"/>
          <w:szCs w:val="24"/>
          <w:lang w:eastAsia="fr-FR"/>
        </w:rPr>
        <w:t>Dans tous les cas, la formation doit être renouvelée périodiquement.</w:t>
      </w:r>
    </w:p>
    <w:p w14:paraId="45FB0818" w14:textId="77777777" w:rsidR="002D7BE7" w:rsidRPr="00545D1C" w:rsidRDefault="002D7BE7" w:rsidP="002D7BE7">
      <w:pPr>
        <w:pStyle w:val="Sansinterligne"/>
        <w:jc w:val="both"/>
        <w:rPr>
          <w:rFonts w:ascii="Marianne" w:hAnsi="Marianne" w:cs="Times New Roman"/>
          <w:sz w:val="20"/>
          <w:szCs w:val="24"/>
          <w:lang w:eastAsia="fr-FR"/>
        </w:rPr>
      </w:pPr>
    </w:p>
    <w:p w14:paraId="6F5382D8" w14:textId="77777777" w:rsidR="002D7BE7" w:rsidRPr="00545D1C" w:rsidRDefault="002D7BE7" w:rsidP="002D7BE7">
      <w:pPr>
        <w:pStyle w:val="Sansinterligne"/>
        <w:jc w:val="both"/>
        <w:rPr>
          <w:rFonts w:ascii="Marianne" w:hAnsi="Marianne" w:cs="Times New Roman"/>
          <w:sz w:val="20"/>
          <w:szCs w:val="24"/>
          <w:lang w:eastAsia="fr-FR"/>
        </w:rPr>
      </w:pPr>
      <w:r w:rsidRPr="00545D1C">
        <w:rPr>
          <w:rFonts w:ascii="Marianne" w:hAnsi="Marianne" w:cs="Times New Roman"/>
          <w:sz w:val="20"/>
          <w:szCs w:val="24"/>
          <w:lang w:eastAsia="fr-FR"/>
        </w:rPr>
        <w:t>La jurisprudence de la Cour de cassation insiste pour que l’employeur assure une formation pratique et efficiente au salarié dès son arrivée sur le site par une personne qualifiée de l’entreprise et dûment mandatée à cet effet. La formation ainsi dispensée consiste à mettre le salarié en situation de maîtriser le poste de travail ou la mission confiée.</w:t>
      </w:r>
    </w:p>
    <w:p w14:paraId="049F31CB" w14:textId="12E518FB" w:rsidR="002D7BE7" w:rsidRDefault="002D7BE7" w:rsidP="002D7BE7">
      <w:pPr>
        <w:pStyle w:val="Sansinterligne"/>
        <w:jc w:val="both"/>
        <w:rPr>
          <w:rFonts w:ascii="Marianne" w:hAnsi="Marianne" w:cs="Times New Roman"/>
          <w:sz w:val="24"/>
          <w:szCs w:val="24"/>
          <w:lang w:eastAsia="fr-FR"/>
        </w:rPr>
      </w:pPr>
    </w:p>
    <w:p w14:paraId="79FC165E" w14:textId="77777777" w:rsidR="009C7830" w:rsidRPr="00537105" w:rsidRDefault="009C7830" w:rsidP="002D7BE7">
      <w:pPr>
        <w:pStyle w:val="Sansinterligne"/>
        <w:jc w:val="both"/>
        <w:rPr>
          <w:rFonts w:ascii="Marianne" w:hAnsi="Marianne" w:cs="Times New Roman"/>
          <w:sz w:val="24"/>
          <w:szCs w:val="24"/>
          <w:lang w:eastAsia="fr-FR"/>
        </w:rPr>
      </w:pPr>
    </w:p>
    <w:p w14:paraId="48FD3BCC" w14:textId="3273165E" w:rsidR="002D7BE7" w:rsidRPr="00545D1C" w:rsidRDefault="00545D1C" w:rsidP="002D7BE7">
      <w:pPr>
        <w:pStyle w:val="Sansinterligne"/>
        <w:jc w:val="both"/>
        <w:rPr>
          <w:rFonts w:ascii="Marianne" w:hAnsi="Marianne" w:cs="Times New Roman"/>
          <w:b/>
          <w:i/>
          <w:color w:val="538135" w:themeColor="accent6" w:themeShade="BF"/>
          <w:sz w:val="24"/>
          <w:lang w:eastAsia="fr-FR"/>
        </w:rPr>
      </w:pPr>
      <w:r>
        <w:rPr>
          <w:rFonts w:ascii="Marianne" w:hAnsi="Marianne" w:cs="Times New Roman"/>
          <w:b/>
          <w:i/>
          <w:color w:val="538135" w:themeColor="accent6" w:themeShade="BF"/>
          <w:sz w:val="24"/>
          <w:lang w:eastAsia="fr-FR"/>
        </w:rPr>
        <w:sym w:font="Wingdings" w:char="F046"/>
      </w:r>
      <w:r>
        <w:rPr>
          <w:rFonts w:ascii="Marianne" w:hAnsi="Marianne" w:cs="Times New Roman"/>
          <w:b/>
          <w:i/>
          <w:color w:val="538135" w:themeColor="accent6" w:themeShade="BF"/>
          <w:sz w:val="24"/>
          <w:lang w:eastAsia="fr-FR"/>
        </w:rPr>
        <w:t xml:space="preserve"> </w:t>
      </w:r>
      <w:r w:rsidR="002D7BE7" w:rsidRPr="00545D1C">
        <w:rPr>
          <w:rFonts w:ascii="Marianne" w:hAnsi="Marianne" w:cs="Times New Roman"/>
          <w:b/>
          <w:i/>
          <w:color w:val="538135" w:themeColor="accent6" w:themeShade="BF"/>
          <w:sz w:val="24"/>
          <w:lang w:eastAsia="fr-FR"/>
        </w:rPr>
        <w:t>Défaut de formation à la sécurité : quelles sanctions si rien n’est fait</w:t>
      </w:r>
      <w:r w:rsidR="002D7BE7" w:rsidRPr="00545D1C">
        <w:rPr>
          <w:rFonts w:ascii="Times New Roman" w:hAnsi="Times New Roman" w:cs="Times New Roman"/>
          <w:b/>
          <w:i/>
          <w:color w:val="538135" w:themeColor="accent6" w:themeShade="BF"/>
          <w:sz w:val="24"/>
          <w:lang w:eastAsia="fr-FR"/>
        </w:rPr>
        <w:t> </w:t>
      </w:r>
      <w:r w:rsidR="002D7BE7" w:rsidRPr="00545D1C">
        <w:rPr>
          <w:rFonts w:ascii="Marianne" w:hAnsi="Marianne" w:cs="Times New Roman"/>
          <w:b/>
          <w:i/>
          <w:color w:val="538135" w:themeColor="accent6" w:themeShade="BF"/>
          <w:sz w:val="24"/>
          <w:lang w:eastAsia="fr-FR"/>
        </w:rPr>
        <w:t>?</w:t>
      </w:r>
    </w:p>
    <w:p w14:paraId="53128261" w14:textId="77777777" w:rsidR="002D7BE7" w:rsidRPr="00537105" w:rsidRDefault="002D7BE7" w:rsidP="002D7BE7">
      <w:pPr>
        <w:pStyle w:val="Sansinterligne"/>
        <w:jc w:val="both"/>
        <w:rPr>
          <w:rFonts w:ascii="Marianne" w:hAnsi="Marianne" w:cs="Times New Roman"/>
          <w:lang w:eastAsia="fr-FR"/>
        </w:rPr>
      </w:pPr>
    </w:p>
    <w:p w14:paraId="47F08149" w14:textId="77777777" w:rsidR="002D7BE7" w:rsidRPr="00545D1C" w:rsidRDefault="002D7BE7" w:rsidP="002D7BE7">
      <w:pPr>
        <w:pStyle w:val="Sansinterligne"/>
        <w:jc w:val="both"/>
        <w:rPr>
          <w:rFonts w:ascii="Marianne" w:hAnsi="Marianne" w:cs="Times New Roman"/>
          <w:sz w:val="20"/>
          <w:szCs w:val="24"/>
          <w:lang w:eastAsia="fr-FR"/>
        </w:rPr>
      </w:pPr>
      <w:r w:rsidRPr="00545D1C">
        <w:rPr>
          <w:rFonts w:ascii="Marianne" w:hAnsi="Marianne" w:cs="Times New Roman"/>
          <w:sz w:val="20"/>
          <w:szCs w:val="24"/>
          <w:lang w:eastAsia="fr-FR"/>
        </w:rPr>
        <w:t>L’absence de formation à la sécurité est sanctionnée par une amende de 3750 euros, même en l’absence d’accident (amende à multiplier par le nombre de salariés concernés).</w:t>
      </w:r>
    </w:p>
    <w:p w14:paraId="62486C05" w14:textId="77777777" w:rsidR="002D7BE7" w:rsidRPr="00545D1C" w:rsidRDefault="002D7BE7" w:rsidP="002D7BE7">
      <w:pPr>
        <w:pStyle w:val="Sansinterligne"/>
        <w:jc w:val="both"/>
        <w:rPr>
          <w:rFonts w:ascii="Marianne" w:hAnsi="Marianne" w:cs="Times New Roman"/>
          <w:sz w:val="20"/>
          <w:szCs w:val="24"/>
          <w:lang w:eastAsia="fr-FR"/>
        </w:rPr>
      </w:pPr>
    </w:p>
    <w:p w14:paraId="5BEE00B4" w14:textId="77777777" w:rsidR="002D7BE7" w:rsidRPr="00545D1C" w:rsidRDefault="002D7BE7" w:rsidP="002D7BE7">
      <w:pPr>
        <w:pStyle w:val="Sansinterligne"/>
        <w:jc w:val="both"/>
        <w:rPr>
          <w:rFonts w:ascii="Marianne" w:hAnsi="Marianne" w:cs="Times New Roman"/>
          <w:sz w:val="20"/>
          <w:szCs w:val="24"/>
          <w:lang w:eastAsia="fr-FR"/>
        </w:rPr>
      </w:pPr>
      <w:r w:rsidRPr="00545D1C">
        <w:rPr>
          <w:rFonts w:ascii="Marianne" w:hAnsi="Marianne" w:cs="Times New Roman"/>
          <w:sz w:val="20"/>
          <w:szCs w:val="24"/>
          <w:lang w:eastAsia="fr-FR"/>
        </w:rPr>
        <w:t>Au niveau civil, en cas d’accident et d’absence de formation à la sécurité, la faute inexcusable peut être retenue contre le chef d’entreprise.</w:t>
      </w:r>
    </w:p>
    <w:p w14:paraId="4101652C" w14:textId="77777777" w:rsidR="002D7BE7" w:rsidRPr="00545D1C" w:rsidRDefault="002D7BE7" w:rsidP="002D7BE7">
      <w:pPr>
        <w:pStyle w:val="Sansinterligne"/>
        <w:jc w:val="both"/>
        <w:rPr>
          <w:rFonts w:ascii="Marianne" w:hAnsi="Marianne" w:cs="Times New Roman"/>
          <w:sz w:val="20"/>
          <w:szCs w:val="24"/>
          <w:lang w:eastAsia="fr-FR"/>
        </w:rPr>
      </w:pPr>
    </w:p>
    <w:p w14:paraId="0AC0D2B6" w14:textId="77777777" w:rsidR="002D7BE7" w:rsidRPr="00545D1C" w:rsidRDefault="002D7BE7" w:rsidP="002D7BE7">
      <w:pPr>
        <w:pStyle w:val="Sansinterligne"/>
        <w:jc w:val="both"/>
        <w:rPr>
          <w:rFonts w:ascii="Marianne" w:hAnsi="Marianne" w:cs="Times New Roman"/>
          <w:sz w:val="20"/>
          <w:szCs w:val="24"/>
          <w:lang w:eastAsia="fr-FR"/>
        </w:rPr>
      </w:pPr>
      <w:r w:rsidRPr="00545D1C">
        <w:rPr>
          <w:rFonts w:ascii="Marianne" w:hAnsi="Marianne" w:cs="Times New Roman"/>
          <w:sz w:val="20"/>
          <w:szCs w:val="24"/>
          <w:lang w:eastAsia="fr-FR"/>
        </w:rPr>
        <w:t>De plus, à la suite d’un accident du travail dont l’absence de formation à la sécurité est l’une des causes directes, le chef d’entreprise peut être poursuivi au titre de sa responsabilité pénale.</w:t>
      </w:r>
    </w:p>
    <w:p w14:paraId="3BEA10CB" w14:textId="77777777" w:rsidR="002C15F8" w:rsidRPr="00545D1C" w:rsidRDefault="002D7BE7" w:rsidP="002D7BE7">
      <w:pPr>
        <w:pStyle w:val="Sansinterligne"/>
        <w:jc w:val="both"/>
        <w:rPr>
          <w:rFonts w:ascii="Marianne" w:hAnsi="Marianne" w:cs="Times New Roman"/>
          <w:sz w:val="20"/>
          <w:szCs w:val="24"/>
          <w:lang w:eastAsia="fr-FR"/>
        </w:rPr>
      </w:pPr>
      <w:r w:rsidRPr="00545D1C">
        <w:rPr>
          <w:rFonts w:ascii="Marianne" w:hAnsi="Marianne" w:cs="Times New Roman"/>
          <w:sz w:val="20"/>
          <w:szCs w:val="24"/>
          <w:lang w:eastAsia="fr-FR"/>
        </w:rPr>
        <w:t>La Cour de cassation a aussi admis qu’une entreprise utilisatrice puisse être condamnée à une peine d’amende pour blessures involontaires causées à un salarié intérimaire qui n’avait pas bénéficié de la formation à la sécurité.</w:t>
      </w:r>
    </w:p>
    <w:sectPr w:rsidR="002C15F8" w:rsidRPr="00545D1C" w:rsidSect="00545D1C">
      <w:headerReference w:type="default" r:id="rId16"/>
      <w:footerReference w:type="default" r:id="rId17"/>
      <w:pgSz w:w="11906" w:h="16838"/>
      <w:pgMar w:top="1418" w:right="992" w:bottom="425" w:left="992"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056EDE" w14:textId="77777777" w:rsidR="00545D1C" w:rsidRDefault="00545D1C" w:rsidP="00545D1C">
      <w:pPr>
        <w:spacing w:after="0" w:line="240" w:lineRule="auto"/>
      </w:pPr>
      <w:r>
        <w:separator/>
      </w:r>
    </w:p>
  </w:endnote>
  <w:endnote w:type="continuationSeparator" w:id="0">
    <w:p w14:paraId="71403B8D" w14:textId="77777777" w:rsidR="00545D1C" w:rsidRDefault="00545D1C" w:rsidP="00545D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rianne">
    <w:panose1 w:val="02000000000000000000"/>
    <w:charset w:val="00"/>
    <w:family w:val="auto"/>
    <w:pitch w:val="variable"/>
    <w:sig w:usb0="0000000F" w:usb1="00000000" w:usb2="00000000" w:usb3="00000000" w:csb0="00000003" w:csb1="00000000"/>
  </w:font>
  <w:font w:name="Marianne ExtraBold">
    <w:panose1 w:val="02000000000000000000"/>
    <w:charset w:val="00"/>
    <w:family w:val="auto"/>
    <w:pitch w:val="variable"/>
    <w:sig w:usb0="0000000F"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88B6D0" w14:textId="75F518AB" w:rsidR="009C7830" w:rsidRPr="009C7830" w:rsidRDefault="009C7830" w:rsidP="009C7830">
    <w:pPr>
      <w:tabs>
        <w:tab w:val="left" w:pos="2908"/>
        <w:tab w:val="left" w:pos="7938"/>
      </w:tabs>
      <w:ind w:left="-142"/>
      <w:rPr>
        <w:rFonts w:ascii="Marianne" w:hAnsi="Marianne"/>
        <w:b/>
        <w:sz w:val="16"/>
        <w:szCs w:val="18"/>
      </w:rPr>
    </w:pPr>
    <w:r w:rsidRPr="00364477">
      <w:rPr>
        <w:rFonts w:ascii="Marianne" w:hAnsi="Marianne"/>
        <w:b/>
        <w:noProof/>
        <w:sz w:val="18"/>
        <w:szCs w:val="18"/>
        <w:lang w:eastAsia="fr-FR"/>
      </w:rPr>
      <w:drawing>
        <wp:anchor distT="0" distB="0" distL="114300" distR="114300" simplePos="0" relativeHeight="251661312" behindDoc="1" locked="0" layoutInCell="1" allowOverlap="1" wp14:anchorId="529B3DF5" wp14:editId="28A4B9C5">
          <wp:simplePos x="0" y="0"/>
          <wp:positionH relativeFrom="column">
            <wp:posOffset>5154930</wp:posOffset>
          </wp:positionH>
          <wp:positionV relativeFrom="paragraph">
            <wp:posOffset>-52070</wp:posOffset>
          </wp:positionV>
          <wp:extent cx="1162685" cy="359410"/>
          <wp:effectExtent l="0" t="0" r="0" b="2540"/>
          <wp:wrapThrough wrapText="bothSides">
            <wp:wrapPolygon edited="0">
              <wp:start x="0" y="0"/>
              <wp:lineTo x="0" y="20608"/>
              <wp:lineTo x="21234" y="20608"/>
              <wp:lineTo x="21234" y="0"/>
              <wp:lineTo x="0" y="0"/>
            </wp:wrapPolygon>
          </wp:wrapThrough>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reets_grand_es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62685" cy="359410"/>
                  </a:xfrm>
                  <a:prstGeom prst="rect">
                    <a:avLst/>
                  </a:prstGeom>
                </pic:spPr>
              </pic:pic>
            </a:graphicData>
          </a:graphic>
          <wp14:sizeRelH relativeFrom="margin">
            <wp14:pctWidth>0</wp14:pctWidth>
          </wp14:sizeRelH>
          <wp14:sizeRelV relativeFrom="margin">
            <wp14:pctHeight>0</wp14:pctHeight>
          </wp14:sizeRelV>
        </wp:anchor>
      </w:drawing>
    </w:r>
    <w:r w:rsidRPr="00364477">
      <w:rPr>
        <w:noProof/>
        <w:lang w:eastAsia="fr-FR"/>
      </w:rPr>
      <w:drawing>
        <wp:inline distT="0" distB="0" distL="0" distR="0" wp14:anchorId="52778545" wp14:editId="4E408594">
          <wp:extent cx="3105150" cy="314325"/>
          <wp:effectExtent l="0" t="0" r="0" b="952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3105150" cy="314325"/>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48A118" w14:textId="43D38643" w:rsidR="009C7830" w:rsidRPr="009C7830" w:rsidRDefault="009C7830" w:rsidP="009C7830">
    <w:pPr>
      <w:tabs>
        <w:tab w:val="left" w:pos="2908"/>
        <w:tab w:val="left" w:pos="7938"/>
      </w:tabs>
      <w:ind w:left="-142"/>
      <w:rPr>
        <w:rFonts w:ascii="Marianne" w:hAnsi="Marianne"/>
        <w:b/>
        <w:sz w:val="16"/>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7D1572" w14:textId="77777777" w:rsidR="00545D1C" w:rsidRDefault="00545D1C" w:rsidP="00545D1C">
      <w:pPr>
        <w:spacing w:after="0" w:line="240" w:lineRule="auto"/>
      </w:pPr>
      <w:r>
        <w:separator/>
      </w:r>
    </w:p>
  </w:footnote>
  <w:footnote w:type="continuationSeparator" w:id="0">
    <w:p w14:paraId="629F04B4" w14:textId="77777777" w:rsidR="00545D1C" w:rsidRDefault="00545D1C" w:rsidP="00545D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414FD" w14:textId="77777777" w:rsidR="00545D1C" w:rsidRPr="00364477" w:rsidRDefault="00545D1C" w:rsidP="00545D1C">
    <w:pPr>
      <w:pBdr>
        <w:left w:val="single" w:sz="4" w:space="4" w:color="auto"/>
      </w:pBdr>
      <w:tabs>
        <w:tab w:val="left" w:pos="2268"/>
        <w:tab w:val="right" w:pos="9072"/>
      </w:tabs>
      <w:spacing w:after="0" w:line="240" w:lineRule="auto"/>
      <w:ind w:left="2268"/>
      <w:jc w:val="both"/>
      <w:rPr>
        <w:rFonts w:ascii="Marianne" w:hAnsi="Marianne"/>
        <w:b/>
        <w:sz w:val="16"/>
      </w:rPr>
    </w:pPr>
    <w:r>
      <w:rPr>
        <w:noProof/>
        <w:lang w:eastAsia="fr-FR"/>
      </w:rPr>
      <w:drawing>
        <wp:anchor distT="0" distB="0" distL="114300" distR="114300" simplePos="0" relativeHeight="251659264" behindDoc="1" locked="0" layoutInCell="1" allowOverlap="1" wp14:anchorId="3E08BB0D" wp14:editId="44B3839A">
          <wp:simplePos x="0" y="0"/>
          <wp:positionH relativeFrom="column">
            <wp:posOffset>-125730</wp:posOffset>
          </wp:positionH>
          <wp:positionV relativeFrom="paragraph">
            <wp:posOffset>-234315</wp:posOffset>
          </wp:positionV>
          <wp:extent cx="1514475" cy="1162050"/>
          <wp:effectExtent l="0" t="0" r="0" b="0"/>
          <wp:wrapNone/>
          <wp:docPr id="5" name="Image 2" descr="8BBB23D"/>
          <wp:cNvGraphicFramePr/>
          <a:graphic xmlns:a="http://schemas.openxmlformats.org/drawingml/2006/main">
            <a:graphicData uri="http://schemas.openxmlformats.org/drawingml/2006/picture">
              <pic:pic xmlns:pic="http://schemas.openxmlformats.org/drawingml/2006/picture">
                <pic:nvPicPr>
                  <pic:cNvPr id="1" name="Image 2" descr="8BBB23D"/>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14475" cy="1162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4477">
      <w:rPr>
        <w:rFonts w:ascii="Marianne" w:hAnsi="Marianne"/>
        <w:b/>
        <w:sz w:val="16"/>
      </w:rPr>
      <w:t>Direction régionale</w:t>
    </w:r>
  </w:p>
  <w:p w14:paraId="3B261F6D" w14:textId="77777777" w:rsidR="00545D1C" w:rsidRPr="00364477" w:rsidRDefault="00545D1C" w:rsidP="00545D1C">
    <w:pPr>
      <w:pBdr>
        <w:left w:val="single" w:sz="4" w:space="4" w:color="auto"/>
      </w:pBdr>
      <w:tabs>
        <w:tab w:val="left" w:pos="2268"/>
        <w:tab w:val="right" w:pos="9072"/>
      </w:tabs>
      <w:spacing w:after="0" w:line="240" w:lineRule="auto"/>
      <w:ind w:left="2268"/>
      <w:jc w:val="both"/>
      <w:rPr>
        <w:rFonts w:ascii="Marianne" w:hAnsi="Marianne"/>
        <w:b/>
        <w:sz w:val="16"/>
      </w:rPr>
    </w:pPr>
    <w:proofErr w:type="gramStart"/>
    <w:r w:rsidRPr="00364477">
      <w:rPr>
        <w:rFonts w:ascii="Marianne" w:hAnsi="Marianne"/>
        <w:b/>
        <w:sz w:val="16"/>
      </w:rPr>
      <w:t>de</w:t>
    </w:r>
    <w:proofErr w:type="gramEnd"/>
    <w:r w:rsidRPr="00364477">
      <w:rPr>
        <w:rFonts w:ascii="Marianne" w:hAnsi="Marianne"/>
        <w:b/>
        <w:sz w:val="16"/>
      </w:rPr>
      <w:t xml:space="preserve"> l’économie, de l’emploi</w:t>
    </w:r>
  </w:p>
  <w:p w14:paraId="4090798E" w14:textId="77777777" w:rsidR="00545D1C" w:rsidRPr="00364477" w:rsidRDefault="00545D1C" w:rsidP="00545D1C">
    <w:pPr>
      <w:pBdr>
        <w:left w:val="single" w:sz="4" w:space="4" w:color="auto"/>
      </w:pBdr>
      <w:tabs>
        <w:tab w:val="left" w:pos="2268"/>
        <w:tab w:val="right" w:pos="9072"/>
      </w:tabs>
      <w:spacing w:after="0" w:line="240" w:lineRule="auto"/>
      <w:ind w:left="2268"/>
      <w:jc w:val="both"/>
      <w:rPr>
        <w:rFonts w:ascii="Marianne" w:hAnsi="Marianne"/>
        <w:b/>
        <w:sz w:val="16"/>
      </w:rPr>
    </w:pPr>
    <w:proofErr w:type="gramStart"/>
    <w:r w:rsidRPr="00364477">
      <w:rPr>
        <w:rFonts w:ascii="Marianne" w:hAnsi="Marianne"/>
        <w:b/>
        <w:sz w:val="16"/>
      </w:rPr>
      <w:t>du</w:t>
    </w:r>
    <w:proofErr w:type="gramEnd"/>
    <w:r w:rsidRPr="00364477">
      <w:rPr>
        <w:rFonts w:ascii="Marianne" w:hAnsi="Marianne"/>
        <w:b/>
        <w:sz w:val="16"/>
      </w:rPr>
      <w:t xml:space="preserve"> travail et des solidarités</w:t>
    </w:r>
  </w:p>
  <w:p w14:paraId="01941814" w14:textId="77777777" w:rsidR="00545D1C" w:rsidRPr="00364477" w:rsidRDefault="00545D1C" w:rsidP="00545D1C">
    <w:pPr>
      <w:pBdr>
        <w:left w:val="single" w:sz="4" w:space="4" w:color="auto"/>
      </w:pBdr>
      <w:tabs>
        <w:tab w:val="left" w:pos="2268"/>
        <w:tab w:val="right" w:pos="9072"/>
      </w:tabs>
      <w:spacing w:after="0" w:line="240" w:lineRule="auto"/>
      <w:ind w:left="2268"/>
      <w:jc w:val="both"/>
      <w:rPr>
        <w:rFonts w:ascii="Marianne" w:hAnsi="Marianne"/>
        <w:b/>
        <w:sz w:val="16"/>
      </w:rPr>
    </w:pPr>
    <w:proofErr w:type="gramStart"/>
    <w:r w:rsidRPr="00364477">
      <w:rPr>
        <w:rFonts w:ascii="Marianne" w:hAnsi="Marianne"/>
        <w:b/>
        <w:sz w:val="16"/>
      </w:rPr>
      <w:t>du</w:t>
    </w:r>
    <w:proofErr w:type="gramEnd"/>
    <w:r w:rsidRPr="00364477">
      <w:rPr>
        <w:rFonts w:ascii="Marianne" w:hAnsi="Marianne"/>
        <w:b/>
        <w:sz w:val="16"/>
      </w:rPr>
      <w:t xml:space="preserve"> Grand Est</w:t>
    </w:r>
  </w:p>
  <w:p w14:paraId="296C626D" w14:textId="77777777" w:rsidR="00545D1C" w:rsidRDefault="00545D1C" w:rsidP="00545D1C">
    <w:pPr>
      <w:pStyle w:val="En-tte"/>
    </w:pPr>
  </w:p>
  <w:p w14:paraId="334D3133" w14:textId="77777777" w:rsidR="00545D1C" w:rsidRDefault="00545D1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A46DE1" w14:textId="77777777" w:rsidR="003C2A9F" w:rsidRDefault="003C2A9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7663B1"/>
    <w:multiLevelType w:val="hybridMultilevel"/>
    <w:tmpl w:val="7C542B42"/>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8C30D0F"/>
    <w:multiLevelType w:val="multilevel"/>
    <w:tmpl w:val="3A2C3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59B172D"/>
    <w:multiLevelType w:val="hybridMultilevel"/>
    <w:tmpl w:val="DDA0E336"/>
    <w:lvl w:ilvl="0" w:tplc="DE5E69DE">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BE7"/>
    <w:rsid w:val="00202724"/>
    <w:rsid w:val="002C15F8"/>
    <w:rsid w:val="002D7BE7"/>
    <w:rsid w:val="003C2A9F"/>
    <w:rsid w:val="00537105"/>
    <w:rsid w:val="00545D1C"/>
    <w:rsid w:val="00825BB9"/>
    <w:rsid w:val="009C7830"/>
    <w:rsid w:val="00C44987"/>
    <w:rsid w:val="00C5419E"/>
    <w:rsid w:val="00CC4981"/>
    <w:rsid w:val="5A64887D"/>
    <w:rsid w:val="5EA9765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30D42"/>
  <w15:chartTrackingRefBased/>
  <w15:docId w15:val="{C2013F46-62B3-47AB-BC13-2E99EEA73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2D7BE7"/>
    <w:pPr>
      <w:spacing w:after="0" w:line="240" w:lineRule="auto"/>
    </w:pPr>
  </w:style>
  <w:style w:type="paragraph" w:styleId="En-tte">
    <w:name w:val="header"/>
    <w:basedOn w:val="Normal"/>
    <w:link w:val="En-tteCar"/>
    <w:uiPriority w:val="99"/>
    <w:unhideWhenUsed/>
    <w:rsid w:val="00545D1C"/>
    <w:pPr>
      <w:tabs>
        <w:tab w:val="center" w:pos="4536"/>
        <w:tab w:val="right" w:pos="9072"/>
      </w:tabs>
      <w:spacing w:after="0" w:line="240" w:lineRule="auto"/>
    </w:pPr>
  </w:style>
  <w:style w:type="character" w:customStyle="1" w:styleId="En-tteCar">
    <w:name w:val="En-tête Car"/>
    <w:basedOn w:val="Policepardfaut"/>
    <w:link w:val="En-tte"/>
    <w:uiPriority w:val="99"/>
    <w:rsid w:val="00545D1C"/>
  </w:style>
  <w:style w:type="paragraph" w:styleId="Pieddepage">
    <w:name w:val="footer"/>
    <w:basedOn w:val="Normal"/>
    <w:link w:val="PieddepageCar"/>
    <w:uiPriority w:val="99"/>
    <w:unhideWhenUsed/>
    <w:rsid w:val="00545D1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45D1C"/>
  </w:style>
  <w:style w:type="table" w:styleId="Grilledutableau">
    <w:name w:val="Table Grid"/>
    <w:basedOn w:val="TableauNormal"/>
    <w:uiPriority w:val="39"/>
    <w:rsid w:val="00825B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381713">
      <w:bodyDiv w:val="1"/>
      <w:marLeft w:val="0"/>
      <w:marRight w:val="0"/>
      <w:marTop w:val="0"/>
      <w:marBottom w:val="0"/>
      <w:divBdr>
        <w:top w:val="none" w:sz="0" w:space="0" w:color="auto"/>
        <w:left w:val="none" w:sz="0" w:space="0" w:color="auto"/>
        <w:bottom w:val="none" w:sz="0" w:space="0" w:color="auto"/>
        <w:right w:val="none" w:sz="0" w:space="0" w:color="auto"/>
      </w:divBdr>
    </w:div>
    <w:div w:id="314534061">
      <w:bodyDiv w:val="1"/>
      <w:marLeft w:val="0"/>
      <w:marRight w:val="0"/>
      <w:marTop w:val="0"/>
      <w:marBottom w:val="0"/>
      <w:divBdr>
        <w:top w:val="none" w:sz="0" w:space="0" w:color="auto"/>
        <w:left w:val="none" w:sz="0" w:space="0" w:color="auto"/>
        <w:bottom w:val="none" w:sz="0" w:space="0" w:color="auto"/>
        <w:right w:val="none" w:sz="0" w:space="0" w:color="auto"/>
      </w:divBdr>
      <w:divsChild>
        <w:div w:id="1365979150">
          <w:marLeft w:val="0"/>
          <w:marRight w:val="0"/>
          <w:marTop w:val="0"/>
          <w:marBottom w:val="0"/>
          <w:divBdr>
            <w:top w:val="none" w:sz="0" w:space="0" w:color="auto"/>
            <w:left w:val="none" w:sz="0" w:space="0" w:color="auto"/>
            <w:bottom w:val="none" w:sz="0" w:space="0" w:color="auto"/>
            <w:right w:val="none" w:sz="0" w:space="0" w:color="auto"/>
          </w:divBdr>
        </w:div>
        <w:div w:id="452869531">
          <w:marLeft w:val="0"/>
          <w:marRight w:val="0"/>
          <w:marTop w:val="0"/>
          <w:marBottom w:val="0"/>
          <w:divBdr>
            <w:top w:val="none" w:sz="0" w:space="0" w:color="auto"/>
            <w:left w:val="none" w:sz="0" w:space="0" w:color="auto"/>
            <w:bottom w:val="none" w:sz="0" w:space="0" w:color="auto"/>
            <w:right w:val="none" w:sz="0" w:space="0" w:color="auto"/>
          </w:divBdr>
        </w:div>
        <w:div w:id="215090288">
          <w:marLeft w:val="0"/>
          <w:marRight w:val="0"/>
          <w:marTop w:val="0"/>
          <w:marBottom w:val="0"/>
          <w:divBdr>
            <w:top w:val="none" w:sz="0" w:space="0" w:color="auto"/>
            <w:left w:val="none" w:sz="0" w:space="0" w:color="auto"/>
            <w:bottom w:val="none" w:sz="0" w:space="0" w:color="auto"/>
            <w:right w:val="none" w:sz="0" w:space="0" w:color="auto"/>
          </w:divBdr>
        </w:div>
        <w:div w:id="1410224676">
          <w:marLeft w:val="0"/>
          <w:marRight w:val="0"/>
          <w:marTop w:val="0"/>
          <w:marBottom w:val="0"/>
          <w:divBdr>
            <w:top w:val="none" w:sz="0" w:space="0" w:color="auto"/>
            <w:left w:val="none" w:sz="0" w:space="0" w:color="auto"/>
            <w:bottom w:val="none" w:sz="0" w:space="0" w:color="auto"/>
            <w:right w:val="none" w:sz="0" w:space="0" w:color="auto"/>
          </w:divBdr>
        </w:div>
        <w:div w:id="4526782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editions-tissot.fr/actualite/tag/medecin-du-travai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legifrance.gouv.fr/codes/article_lc/LEGIARTI000006903167"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egifrance.gouv.fr/codes/article_lc/LEGIARTI000006903166"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legifrance.gouv.fr/codes/article_lc/LEGIARTI000027326445"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CEF39D7783D664BABCB004399CAF5C5" ma:contentTypeVersion="3" ma:contentTypeDescription="Crée un document." ma:contentTypeScope="" ma:versionID="35d12c72d1b06c4aebe2ec3e921309ff">
  <xsd:schema xmlns:xsd="http://www.w3.org/2001/XMLSchema" xmlns:xs="http://www.w3.org/2001/XMLSchema" xmlns:p="http://schemas.microsoft.com/office/2006/metadata/properties" xmlns:ns2="ddd8ede4-c600-476d-a99d-dfac9d1b9eeb" targetNamespace="http://schemas.microsoft.com/office/2006/metadata/properties" ma:root="true" ma:fieldsID="4f9a90442465100a23806a07fc6cc5ac" ns2:_="">
    <xsd:import namespace="ddd8ede4-c600-476d-a99d-dfac9d1b9eeb"/>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ede4-c600-476d-a99d-dfac9d1b9e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D80A89F-B52E-471D-BF87-B82C1937B482}">
  <ds:schemaRefs>
    <ds:schemaRef ds:uri="http://schemas.microsoft.com/sharepoint/v3/contenttype/forms"/>
  </ds:schemaRefs>
</ds:datastoreItem>
</file>

<file path=customXml/itemProps2.xml><?xml version="1.0" encoding="utf-8"?>
<ds:datastoreItem xmlns:ds="http://schemas.openxmlformats.org/officeDocument/2006/customXml" ds:itemID="{A1EBEC2B-6FCA-4F63-B510-1B4560E928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ede4-c600-476d-a99d-dfac9d1b9e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45B3EE-4368-433D-A2FF-AB0B704CA9BF}">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ddd8ede4-c600-476d-a99d-dfac9d1b9eeb"/>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714</Words>
  <Characters>3930</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DINSIC67</Company>
  <LinksUpToDate>false</LinksUpToDate>
  <CharactersWithSpaces>4635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CLAUDEL Héloïse</dc:creator>
  <cp:keywords/>
  <dc:description/>
  <cp:lastModifiedBy>BRACONNIER, Catherine (DREETS-GE)</cp:lastModifiedBy>
  <cp:revision>7</cp:revision>
  <dcterms:created xsi:type="dcterms:W3CDTF">2024-01-18T10:52:00Z</dcterms:created>
  <dcterms:modified xsi:type="dcterms:W3CDTF">2024-01-31T09:12:00Z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0x010100DCEF39D7783D664BABCB004399CAF5C5</vt:lpwstr>
  </property>
</Properties>
</file>